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仿宋_GB2312" w:hAnsi="仿宋_GB2312" w:eastAsia="仿宋_GB2312" w:cs="仿宋_GB2312"/>
          <w:szCs w:val="24"/>
        </w:rPr>
        <w:id w:val="-1714960580"/>
      </w:sdtPr>
      <w:sdtEndPr>
        <w:rPr>
          <w:rFonts w:hint="eastAsia" w:ascii="仿宋_GB2312" w:hAnsi="仿宋_GB2312" w:eastAsia="仿宋_GB2312" w:cs="仿宋_GB2312"/>
          <w:b/>
          <w:spacing w:val="28"/>
          <w:szCs w:val="24"/>
        </w:rPr>
      </w:sdtEndPr>
      <w:sdtContent>
        <w:p>
          <w:pPr>
            <w:spacing w:before="240"/>
            <w:ind w:firstLine="480"/>
            <w:jc w:val="center"/>
            <w:rPr>
              <w:rFonts w:ascii="仿宋_GB2312" w:hAnsi="仿宋_GB2312" w:eastAsia="仿宋_GB2312" w:cs="仿宋_GB2312"/>
              <w:szCs w:val="24"/>
            </w:rPr>
          </w:pPr>
        </w:p>
        <w:p>
          <w:pPr>
            <w:spacing w:before="240"/>
            <w:ind w:firstLine="480"/>
            <w:jc w:val="center"/>
            <w:rPr>
              <w:rFonts w:ascii="仿宋_GB2312" w:hAnsi="仿宋_GB2312" w:eastAsia="仿宋_GB2312" w:cs="仿宋_GB2312"/>
              <w:szCs w:val="24"/>
            </w:rPr>
          </w:pPr>
        </w:p>
        <w:p>
          <w:pPr>
            <w:spacing w:before="240"/>
            <w:ind w:firstLine="0" w:firstLineChars="0"/>
            <w:rPr>
              <w:rFonts w:ascii="仿宋_GB2312" w:hAnsi="仿宋_GB2312" w:eastAsia="仿宋_GB2312" w:cs="仿宋_GB2312"/>
              <w:szCs w:val="24"/>
            </w:rPr>
          </w:pPr>
        </w:p>
        <w:p>
          <w:pPr>
            <w:ind w:firstLine="0" w:firstLineChars="0"/>
            <w:jc w:val="center"/>
            <w:rPr>
              <w:rFonts w:ascii="黑体" w:hAnsi="黑体" w:eastAsia="黑体" w:cs="黑体"/>
              <w:b/>
              <w:bCs/>
              <w:sz w:val="72"/>
              <w:szCs w:val="72"/>
              <w:lang w:val="zh-CN"/>
            </w:rPr>
          </w:pPr>
          <w:r>
            <w:rPr>
              <w:rFonts w:hint="eastAsia" w:ascii="黑体" w:hAnsi="黑体" w:eastAsia="黑体" w:cs="黑体"/>
              <w:b/>
              <w:bCs/>
              <w:sz w:val="72"/>
              <w:szCs w:val="72"/>
              <w:lang w:val="zh-CN"/>
            </w:rPr>
            <w:t>招标文件</w:t>
          </w:r>
        </w:p>
        <w:p>
          <w:pPr>
            <w:ind w:firstLine="0" w:firstLineChars="0"/>
            <w:rPr>
              <w:rFonts w:ascii="仿宋_GB2312" w:hAnsi="仿宋_GB2312" w:eastAsia="仿宋_GB2312" w:cs="仿宋_GB2312"/>
              <w:b/>
              <w:spacing w:val="28"/>
              <w:sz w:val="36"/>
              <w:szCs w:val="24"/>
            </w:rPr>
          </w:pPr>
        </w:p>
        <w:p>
          <w:pPr>
            <w:ind w:firstLine="0" w:firstLineChars="0"/>
            <w:rPr>
              <w:rFonts w:ascii="仿宋_GB2312" w:hAnsi="仿宋_GB2312" w:eastAsia="仿宋_GB2312" w:cs="仿宋_GB2312"/>
              <w:b/>
              <w:spacing w:val="28"/>
              <w:sz w:val="36"/>
              <w:szCs w:val="24"/>
            </w:rPr>
          </w:pPr>
        </w:p>
        <w:p>
          <w:pPr>
            <w:spacing w:line="276" w:lineRule="auto"/>
            <w:ind w:firstLine="1431" w:firstLineChars="396"/>
            <w:rPr>
              <w:rFonts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项目编号：XMKYSK-2022003</w:t>
          </w:r>
        </w:p>
        <w:p>
          <w:pPr>
            <w:spacing w:line="276" w:lineRule="auto"/>
            <w:ind w:firstLine="1431" w:firstLineChars="396"/>
            <w:rPr>
              <w:rFonts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项目名称：思明控股统一协同办公系统</w:t>
          </w:r>
        </w:p>
        <w:p>
          <w:pPr>
            <w:spacing w:line="276" w:lineRule="auto"/>
            <w:ind w:firstLine="1431" w:firstLineChars="396"/>
            <w:rPr>
              <w:rFonts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采购单位：</w:t>
          </w:r>
          <w:r>
            <w:rPr>
              <w:rFonts w:hint="eastAsia" w:ascii="仿宋_GB2312" w:hAnsi="仿宋_GB2312" w:eastAsia="仿宋_GB2312" w:cs="仿宋_GB2312"/>
              <w:b/>
              <w:bCs/>
              <w:sz w:val="36"/>
              <w:szCs w:val="36"/>
              <w:lang w:val="zh-CN"/>
            </w:rPr>
            <mc:AlternateContent>
              <mc:Choice Requires="wps">
                <w:drawing>
                  <wp:anchor distT="0" distB="0" distL="114300" distR="114300" simplePos="0" relativeHeight="251660288" behindDoc="0" locked="0" layoutInCell="1" allowOverlap="1">
                    <wp:simplePos x="0" y="0"/>
                    <wp:positionH relativeFrom="column">
                      <wp:posOffset>-828675</wp:posOffset>
                    </wp:positionH>
                    <wp:positionV relativeFrom="paragraph">
                      <wp:posOffset>7447915</wp:posOffset>
                    </wp:positionV>
                    <wp:extent cx="5539105" cy="55245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539105" cy="552450"/>
                            </a:xfrm>
                            <a:prstGeom prst="rect">
                              <a:avLst/>
                            </a:prstGeom>
                            <a:noFill/>
                            <a:ln>
                              <a:noFill/>
                            </a:ln>
                          </wps:spPr>
                          <wps:txbx>
                            <w:txbxContent>
                              <w:p>
                                <w:pPr>
                                  <w:ind w:firstLine="0" w:firstLineChars="0"/>
                                  <w:jc w:val="center"/>
                                  <w:rPr>
                                    <w:rFonts w:ascii="微软雅黑" w:hAnsi="微软雅黑" w:eastAsia="微软雅黑"/>
                                    <w:sz w:val="28"/>
                                    <w:szCs w:val="18"/>
                                  </w:rPr>
                                </w:pPr>
                                <w:r>
                                  <w:rPr>
                                    <w:rFonts w:hint="eastAsia" w:ascii="微软雅黑" w:hAnsi="微软雅黑" w:eastAsia="微软雅黑"/>
                                    <w:sz w:val="28"/>
                                    <w:szCs w:val="18"/>
                                  </w:rPr>
                                  <w:t>2017年9月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5.25pt;margin-top:586.45pt;height:43.5pt;width:436.15pt;z-index:251660288;mso-width-relative:page;mso-height-relative:page;" filled="f" stroked="f" coordsize="21600,21600" o:gfxdata="UEsDBAoAAAAAAIdO4kAAAAAAAAAAAAAAAAAEAAAAZHJzL1BLAwQUAAAACACHTuJAViPRaNoAAAAO&#10;AQAADwAAAGRycy9kb3ducmV2LnhtbE2PwU7DMBBE70j8g7VI3Fo7oaEkxOkBxBVEgUq9ufE2iYjX&#10;Uew24e9ZTvS4M0+zM+Vmdr044xg6TxqSpQKBVHvbUaPh8+Nl8QAiREPW9J5Qww8G2FTXV6UprJ/o&#10;Hc/b2AgOoVAYDW2MQyFlqFt0Jiz9gMTe0Y/ORD7HRtrRTBzuepkqdS+d6Yg/tGbApxbr7+3Jafh6&#10;Pe53K/XWPLtsmPysJLlcan17k6hHEBHn+A/DX32uDhV3OvgT2SB6DYvkTmXMspOs0xwEM+tVwnMO&#10;LKVZnoOsSnk5o/oFUEsDBBQAAAAIAIdO4kBrmmHp+wEAAMcDAAAOAAAAZHJzL2Uyb0RvYy54bWyt&#10;U82O0zAQviPxDpbvNE1pYDdqulp2tQhp+ZEWHsBxnMQi8Zix26Q8ALwBJy7c97n6HIydbilwQ1ws&#10;2zP+5vu+Ga8uxr5jW4VOgyl4OptzpoyESpum4B/e3zw548x5YSrRgVEF3ynHL9aPH60Gm6sFtNBV&#10;ChmBGJcPtuCt9zZPEidb1Qs3A6sMBWvAXng6YpNUKAZC77tkMZ8/SwbAyiJI5RzdXk9Bvo74da2k&#10;f1vXTnnWFZy4+bhiXMuwJuuVyBsUttXyQEP8A4teaENFj1DXwgu2Qf0XVK8lgoPazyT0CdS1lipq&#10;IDXp/A81d62wKmohc5w92uT+H6x8s32HTFfUO86M6KlF+29f99/v9z++sDTYM1iXU9adpTw/voAx&#10;pAapzt6C/OiYgatWmEZdIsLQKlERvfgyOXk64bgAUg6voaI6YuMhAo019gGQ3GCETm3aHVujRs8k&#10;XWbZ0/N0nnEmKZZli2UWe5eI/OG1RedfKuhZ2BQcqfURXWxvnScdlPqQEooZuNFdF9vfmd8uKDHc&#10;RPaB8ETdj+V4cKOEakc6EKZpoumnTQv4mbOBJqng7tNGoOKse2XIi/N0uQyjFw/L7PmCDngaKU8j&#10;wkiCKrjnbNpe+WlcNxZ101KlyX0Dl+RfraO0YPTE6sCbpiUqPkx2GMfTc8z69f/W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I9Fo2gAAAA4BAAAPAAAAAAAAAAEAIAAAACIAAABkcnMvZG93bnJl&#10;di54bWxQSwECFAAUAAAACACHTuJAa5ph6fsBAADHAwAADgAAAAAAAAABACAAAAApAQAAZHJzL2Uy&#10;b0RvYy54bWxQSwUGAAAAAAYABgBZAQAAlgUAAAAA&#10;">
                    <v:fill on="f" focussize="0,0"/>
                    <v:stroke on="f"/>
                    <v:imagedata o:title=""/>
                    <o:lock v:ext="edit" aspectratio="f"/>
                    <v:textbox>
                      <w:txbxContent>
                        <w:p>
                          <w:pPr>
                            <w:ind w:firstLine="0" w:firstLineChars="0"/>
                            <w:jc w:val="center"/>
                            <w:rPr>
                              <w:rFonts w:ascii="微软雅黑" w:hAnsi="微软雅黑" w:eastAsia="微软雅黑"/>
                              <w:sz w:val="28"/>
                              <w:szCs w:val="18"/>
                            </w:rPr>
                          </w:pPr>
                          <w:r>
                            <w:rPr>
                              <w:rFonts w:hint="eastAsia" w:ascii="微软雅黑" w:hAnsi="微软雅黑" w:eastAsia="微软雅黑"/>
                              <w:sz w:val="28"/>
                              <w:szCs w:val="18"/>
                            </w:rPr>
                            <w:t>2017年9月</w:t>
                          </w:r>
                        </w:p>
                      </w:txbxContent>
                    </v:textbox>
                  </v:shape>
                </w:pict>
              </mc:Fallback>
            </mc:AlternateContent>
          </w:r>
          <w:r>
            <w:rPr>
              <w:rFonts w:hint="eastAsia" w:ascii="仿宋_GB2312" w:hAnsi="仿宋_GB2312" w:eastAsia="仿宋_GB2312" w:cs="仿宋_GB2312"/>
              <w:b/>
              <w:bCs/>
              <w:sz w:val="36"/>
              <w:szCs w:val="36"/>
              <w:lang w:val="zh-CN"/>
            </w:rPr>
            <mc:AlternateContent>
              <mc:Choice Requires="wps">
                <w:drawing>
                  <wp:anchor distT="0" distB="0" distL="114300" distR="114300" simplePos="0" relativeHeight="251659264" behindDoc="0" locked="0" layoutInCell="1" allowOverlap="1">
                    <wp:simplePos x="0" y="0"/>
                    <wp:positionH relativeFrom="column">
                      <wp:posOffset>-828675</wp:posOffset>
                    </wp:positionH>
                    <wp:positionV relativeFrom="paragraph">
                      <wp:posOffset>7447915</wp:posOffset>
                    </wp:positionV>
                    <wp:extent cx="5539105" cy="552450"/>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5539105" cy="552450"/>
                            </a:xfrm>
                            <a:prstGeom prst="rect">
                              <a:avLst/>
                            </a:prstGeom>
                            <a:noFill/>
                            <a:ln>
                              <a:noFill/>
                            </a:ln>
                          </wps:spPr>
                          <wps:txbx>
                            <w:txbxContent>
                              <w:p>
                                <w:pPr>
                                  <w:ind w:firstLine="0" w:firstLineChars="0"/>
                                  <w:jc w:val="center"/>
                                  <w:rPr>
                                    <w:rFonts w:ascii="微软雅黑" w:hAnsi="微软雅黑" w:eastAsia="微软雅黑"/>
                                    <w:sz w:val="28"/>
                                    <w:szCs w:val="18"/>
                                  </w:rPr>
                                </w:pPr>
                                <w:r>
                                  <w:rPr>
                                    <w:rFonts w:hint="eastAsia" w:ascii="微软雅黑" w:hAnsi="微软雅黑" w:eastAsia="微软雅黑"/>
                                    <w:sz w:val="28"/>
                                    <w:szCs w:val="18"/>
                                  </w:rPr>
                                  <w:t>2017年9月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5.25pt;margin-top:586.45pt;height:43.5pt;width:436.15pt;z-index:251659264;mso-width-relative:page;mso-height-relative:page;" filled="f" stroked="f" coordsize="21600,21600" o:gfxdata="UEsDBAoAAAAAAIdO4kAAAAAAAAAAAAAAAAAEAAAAZHJzL1BLAwQUAAAACACHTuJAViPRaNoAAAAO&#10;AQAADwAAAGRycy9kb3ducmV2LnhtbE2PwU7DMBBE70j8g7VI3Fo7oaEkxOkBxBVEgUq9ufE2iYjX&#10;Uew24e9ZTvS4M0+zM+Vmdr044xg6TxqSpQKBVHvbUaPh8+Nl8QAiREPW9J5Qww8G2FTXV6UprJ/o&#10;Hc/b2AgOoVAYDW2MQyFlqFt0Jiz9gMTe0Y/ORD7HRtrRTBzuepkqdS+d6Yg/tGbApxbr7+3Jafh6&#10;Pe53K/XWPLtsmPysJLlcan17k6hHEBHn+A/DX32uDhV3OvgT2SB6DYvkTmXMspOs0xwEM+tVwnMO&#10;LKVZnoOsSnk5o/oFUEsDBBQAAAAIAIdO4kDGHIZ+/AEAAMcDAAAOAAAAZHJzL2Uyb0RvYy54bWyt&#10;U82O0zAQviPxDpbvNGlpym7UdLXsahHSwiItPIDrOIlF4jFjt0l5APYNOHHhznP1ORg73VLghrhY&#10;nh9/88034+XF0LVsq9BpMAWfTlLOlJFQalMX/MP7m2dnnDkvTClaMKrgO+X4xerpk2VvczWDBtpS&#10;ISMQ4/LeFrzx3uZJ4mSjOuEmYJWhYAXYCU8m1kmJoif0rk1mabpIesDSIkjlHHmvxyBfRfyqUtLf&#10;VZVTnrUFJ24+nhjPdTiT1VLkNQrbaHmgIf6BRSe0oaJHqGvhBdug/guq0xLBQeUnEroEqkpLFXug&#10;bqbpH93cN8Kq2AuJ4+xRJvf/YOXb7Ttkuiz4gjMjOhrR/uvD/tuP/fcvbBHk6a3LKeveUp4fXsJA&#10;Y46tOnsL8qNjBq4aYWp1iQh9o0RJ9KbhZXLydMRxAWTdv4GS6oiNhwg0VNgF7UgNRug0pt1xNGrw&#10;TJIzy56fT9OMM0mxLJvNszi7ROSPry06/0pBx8Kl4Eijj+hie+t8YCPyx5RQzMCNbts4/tb85qDE&#10;4InsA+GRuh/Ww0GNNZQ76gNh3Cbafro0gJ8562mTCu4+bQQqztrXhrQ4n87nYfWiMc9ezMjA08j6&#10;NCKMJKiCe87G65Uf13VjUdcNVRrVN3BJ+lU6thaEHlkdeNO2xI4Pmx3W8dSOWb/+3+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iPRaNoAAAAOAQAADwAAAAAAAAABACAAAAAiAAAAZHJzL2Rvd25y&#10;ZXYueG1sUEsBAhQAFAAAAAgAh07iQMYchn78AQAAxwMAAA4AAAAAAAAAAQAgAAAAKQEAAGRycy9l&#10;Mm9Eb2MueG1sUEsFBgAAAAAGAAYAWQEAAJcFAAAAAA==&#10;">
                    <v:fill on="f" focussize="0,0"/>
                    <v:stroke on="f"/>
                    <v:imagedata o:title=""/>
                    <o:lock v:ext="edit" aspectratio="f"/>
                    <v:textbox>
                      <w:txbxContent>
                        <w:p>
                          <w:pPr>
                            <w:ind w:firstLine="0" w:firstLineChars="0"/>
                            <w:jc w:val="center"/>
                            <w:rPr>
                              <w:rFonts w:ascii="微软雅黑" w:hAnsi="微软雅黑" w:eastAsia="微软雅黑"/>
                              <w:sz w:val="28"/>
                              <w:szCs w:val="18"/>
                            </w:rPr>
                          </w:pPr>
                          <w:r>
                            <w:rPr>
                              <w:rFonts w:hint="eastAsia" w:ascii="微软雅黑" w:hAnsi="微软雅黑" w:eastAsia="微软雅黑"/>
                              <w:sz w:val="28"/>
                              <w:szCs w:val="18"/>
                            </w:rPr>
                            <w:t>2017年9月</w:t>
                          </w:r>
                        </w:p>
                      </w:txbxContent>
                    </v:textbox>
                  </v:shape>
                </w:pict>
              </mc:Fallback>
            </mc:AlternateContent>
          </w:r>
          <w:r>
            <w:rPr>
              <w:rFonts w:hint="eastAsia" w:ascii="仿宋_GB2312" w:hAnsi="仿宋_GB2312" w:eastAsia="仿宋_GB2312" w:cs="仿宋_GB2312"/>
              <w:b/>
              <w:bCs/>
              <w:sz w:val="36"/>
              <w:szCs w:val="36"/>
              <w:lang w:val="zh-CN"/>
            </w:rPr>
            <w:t>厦门开元数字科技有限公司</w:t>
          </w:r>
        </w:p>
        <w:p>
          <w:pPr>
            <w:spacing w:line="276" w:lineRule="auto"/>
            <w:ind w:firstLine="708" w:firstLineChars="196"/>
            <w:jc w:val="center"/>
            <w:rPr>
              <w:rFonts w:ascii="仿宋_GB2312" w:hAnsi="仿宋_GB2312" w:eastAsia="仿宋_GB2312" w:cs="仿宋_GB2312"/>
              <w:b/>
              <w:bCs/>
              <w:sz w:val="36"/>
              <w:szCs w:val="36"/>
              <w:lang w:val="zh-CN"/>
            </w:rPr>
          </w:pPr>
        </w:p>
        <w:p>
          <w:pPr>
            <w:pStyle w:val="18"/>
            <w:spacing w:line="360" w:lineRule="auto"/>
            <w:jc w:val="center"/>
            <w:rPr>
              <w:rFonts w:ascii="仿宋_GB2312" w:hAnsi="仿宋_GB2312" w:eastAsia="仿宋_GB2312" w:cs="仿宋_GB2312"/>
              <w:b/>
              <w:bCs/>
              <w:sz w:val="36"/>
              <w:szCs w:val="36"/>
              <w:lang w:val="zh-CN"/>
            </w:rPr>
          </w:pPr>
        </w:p>
        <w:p>
          <w:pPr>
            <w:pStyle w:val="18"/>
            <w:spacing w:line="360" w:lineRule="auto"/>
            <w:jc w:val="center"/>
            <w:rPr>
              <w:rFonts w:ascii="仿宋_GB2312" w:hAnsi="仿宋_GB2312" w:eastAsia="仿宋_GB2312" w:cs="仿宋_GB2312"/>
              <w:b/>
              <w:bCs/>
              <w:sz w:val="36"/>
              <w:szCs w:val="36"/>
              <w:lang w:val="zh-CN"/>
            </w:rPr>
          </w:pPr>
        </w:p>
        <w:p>
          <w:pPr>
            <w:pStyle w:val="18"/>
            <w:spacing w:line="360" w:lineRule="auto"/>
            <w:jc w:val="center"/>
            <w:rPr>
              <w:rFonts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厦门开元数字科技有限公司</w:t>
          </w:r>
        </w:p>
        <w:p>
          <w:pPr>
            <w:spacing w:line="276" w:lineRule="auto"/>
            <w:ind w:firstLine="3253" w:firstLineChars="900"/>
            <w:rPr>
              <w:rFonts w:ascii="仿宋_GB2312" w:hAnsi="仿宋_GB2312" w:eastAsia="仿宋_GB2312" w:cs="仿宋_GB2312"/>
              <w:b/>
              <w:bCs/>
              <w:sz w:val="36"/>
              <w:szCs w:val="36"/>
            </w:rPr>
          </w:pPr>
          <w:r>
            <w:rPr>
              <w:rFonts w:hint="eastAsia" w:ascii="仿宋_GB2312" w:hAnsi="仿宋_GB2312" w:eastAsia="仿宋_GB2312" w:cs="仿宋_GB2312"/>
              <w:b/>
              <w:sz w:val="36"/>
              <w:szCs w:val="36"/>
            </w:rPr>
            <w:t>2022年8月</w:t>
          </w:r>
        </w:p>
        <w:p>
          <w:pPr>
            <w:spacing w:line="276" w:lineRule="auto"/>
            <w:ind w:firstLine="708" w:firstLineChars="196"/>
            <w:jc w:val="center"/>
            <w:rPr>
              <w:rFonts w:ascii="仿宋_GB2312" w:hAnsi="仿宋_GB2312" w:eastAsia="仿宋_GB2312" w:cs="仿宋_GB2312"/>
              <w:b/>
              <w:bCs/>
              <w:sz w:val="36"/>
              <w:szCs w:val="36"/>
              <w:lang w:val="zh-CN"/>
            </w:rPr>
          </w:pPr>
        </w:p>
        <w:p>
          <w:pPr>
            <w:widowControl/>
            <w:spacing w:line="240" w:lineRule="auto"/>
            <w:ind w:firstLine="0" w:firstLineChars="0"/>
            <w:jc w:val="left"/>
            <w:rPr>
              <w:rFonts w:ascii="仿宋_GB2312" w:hAnsi="仿宋_GB2312" w:eastAsia="仿宋_GB2312" w:cs="仿宋_GB2312"/>
              <w:b/>
              <w:spacing w:val="28"/>
              <w:szCs w:val="24"/>
            </w:rPr>
          </w:pPr>
          <w:r>
            <w:rPr>
              <w:rFonts w:hint="eastAsia" w:ascii="仿宋_GB2312" w:hAnsi="仿宋_GB2312" w:eastAsia="仿宋_GB2312" w:cs="仿宋_GB2312"/>
              <w:b/>
              <w:spacing w:val="28"/>
              <w:szCs w:val="24"/>
            </w:rPr>
            <w:br w:type="page"/>
          </w:r>
        </w:p>
      </w:sdtContent>
    </w:sdt>
    <w:sdt>
      <w:sdtPr>
        <w:rPr>
          <w:rFonts w:ascii="宋体" w:hAnsi="宋体"/>
          <w:sz w:val="21"/>
        </w:rPr>
        <w:id w:val="147469690"/>
        <w15:color w:val="DBDBDB"/>
        <w:docPartObj>
          <w:docPartGallery w:val="Table of Contents"/>
          <w:docPartUnique/>
        </w:docPartObj>
      </w:sdtPr>
      <w:sdtEndPr>
        <w:rPr>
          <w:rFonts w:hint="eastAsia" w:ascii="仿宋" w:hAnsi="仿宋" w:eastAsia="仿宋" w:cs="仿宋"/>
          <w:sz w:val="28"/>
          <w:szCs w:val="28"/>
        </w:rPr>
      </w:sdtEndPr>
      <w:sdtContent>
        <w:p>
          <w:pPr>
            <w:spacing w:line="240" w:lineRule="auto"/>
            <w:ind w:firstLine="0" w:firstLineChars="0"/>
            <w:jc w:val="center"/>
          </w:pPr>
          <w:r>
            <w:rPr>
              <w:rFonts w:ascii="宋体" w:hAnsi="宋体"/>
              <w:sz w:val="21"/>
            </w:rPr>
            <w:t>目录</w:t>
          </w:r>
        </w:p>
        <w:p>
          <w:pPr>
            <w:pStyle w:val="23"/>
            <w:tabs>
              <w:tab w:val="right" w:leader="dot" w:pos="8845"/>
            </w:tabs>
            <w:ind w:firstLine="424" w:firstLineChars="151"/>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"1-3" \h \u </w:instrText>
          </w:r>
          <w:r>
            <w:rPr>
              <w:rFonts w:hint="eastAsia" w:ascii="仿宋" w:hAnsi="仿宋" w:eastAsia="仿宋" w:cs="仿宋"/>
              <w:sz w:val="28"/>
              <w:szCs w:val="28"/>
            </w:rPr>
            <w:fldChar w:fldCharType="separate"/>
          </w:r>
          <w:r>
            <w:rPr>
              <w:rFonts w:hint="eastAsia" w:ascii="仿宋" w:hAnsi="仿宋" w:eastAsia="仿宋" w:cs="仿宋"/>
              <w:szCs w:val="28"/>
            </w:rPr>
            <w:fldChar w:fldCharType="begin"/>
          </w:r>
          <w:r>
            <w:rPr>
              <w:rFonts w:hint="eastAsia" w:ascii="仿宋" w:hAnsi="仿宋" w:eastAsia="仿宋" w:cs="仿宋"/>
              <w:szCs w:val="28"/>
            </w:rPr>
            <w:instrText xml:space="preserve"> HYPERLINK \l _Toc10611 </w:instrText>
          </w:r>
          <w:r>
            <w:rPr>
              <w:rFonts w:hint="eastAsia" w:ascii="仿宋" w:hAnsi="仿宋" w:eastAsia="仿宋" w:cs="仿宋"/>
              <w:szCs w:val="28"/>
            </w:rP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第一部分 </w:t>
          </w:r>
          <w:r>
            <w:rPr>
              <w:rFonts w:hint="eastAsia" w:ascii="黑体" w:hAnsi="黑体" w:eastAsia="黑体" w:cs="黑体"/>
              <w:bCs w:val="0"/>
              <w:kern w:val="0"/>
              <w:szCs w:val="32"/>
            </w:rPr>
            <w:t>招标公告</w:t>
          </w:r>
          <w:r>
            <w:tab/>
          </w:r>
          <w:r>
            <w:fldChar w:fldCharType="begin"/>
          </w:r>
          <w:r>
            <w:instrText xml:space="preserve"> PAGEREF _Toc10611 </w:instrText>
          </w:r>
          <w:r>
            <w:fldChar w:fldCharType="separate"/>
          </w:r>
          <w:r>
            <w:t>4</w:t>
          </w:r>
          <w: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"_Toc11364"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第二部分 </w:t>
          </w:r>
          <w:r>
            <w:rPr>
              <w:rFonts w:hint="eastAsia" w:ascii="黑体" w:hAnsi="黑体" w:eastAsia="黑体" w:cs="黑体"/>
              <w:bCs w:val="0"/>
              <w:kern w:val="0"/>
              <w:szCs w:val="32"/>
            </w:rPr>
            <w:t>投标须知及前附表</w:t>
          </w:r>
          <w:r>
            <w:tab/>
          </w:r>
          <w:r>
            <w:fldChar w:fldCharType="begin"/>
          </w:r>
          <w:r>
            <w:instrText xml:space="preserve"> PAGEREF _Toc11364 </w:instrText>
          </w:r>
          <w:r>
            <w:fldChar w:fldCharType="separate"/>
          </w:r>
          <w:r>
            <w:t>5</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"_Toc28018" </w:instrText>
          </w:r>
          <w:r>
            <w:fldChar w:fldCharType="separate"/>
          </w:r>
          <w:r>
            <w:rPr>
              <w:rFonts w:hint="eastAsia" w:ascii="仿宋" w:hAnsi="仿宋" w:eastAsia="仿宋" w:cs="仿宋"/>
              <w:szCs w:val="28"/>
            </w:rPr>
            <w:t>2.1 投标须知前附表</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_Toc28018 </w:instrText>
          </w:r>
          <w:r>
            <w:rPr>
              <w:rFonts w:hint="eastAsia" w:ascii="仿宋" w:hAnsi="仿宋" w:eastAsia="仿宋" w:cs="仿宋"/>
              <w:szCs w:val="28"/>
            </w:rPr>
            <w:fldChar w:fldCharType="separate"/>
          </w:r>
          <w:r>
            <w:rPr>
              <w:rFonts w:hint="eastAsia" w:ascii="仿宋" w:hAnsi="仿宋" w:eastAsia="仿宋" w:cs="仿宋"/>
              <w:szCs w:val="28"/>
            </w:rPr>
            <w:t>5</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"_Toc16280" </w:instrText>
          </w:r>
          <w:r>
            <w:fldChar w:fldCharType="separate"/>
          </w:r>
          <w:r>
            <w:rPr>
              <w:rFonts w:hint="eastAsia" w:ascii="仿宋" w:hAnsi="仿宋" w:eastAsia="仿宋" w:cs="仿宋"/>
              <w:szCs w:val="28"/>
            </w:rPr>
            <w:t>2.2 招标说明</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_Toc16280 </w:instrText>
          </w:r>
          <w:r>
            <w:rPr>
              <w:rFonts w:hint="eastAsia" w:ascii="仿宋" w:hAnsi="仿宋" w:eastAsia="仿宋" w:cs="仿宋"/>
              <w:szCs w:val="28"/>
            </w:rPr>
            <w:fldChar w:fldCharType="separate"/>
          </w:r>
          <w:r>
            <w:rPr>
              <w:rFonts w:hint="eastAsia" w:ascii="仿宋" w:hAnsi="仿宋" w:eastAsia="仿宋" w:cs="仿宋"/>
              <w:szCs w:val="28"/>
            </w:rPr>
            <w:t>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"_Toc28774" </w:instrText>
          </w:r>
          <w:r>
            <w:fldChar w:fldCharType="separate"/>
          </w:r>
          <w:r>
            <w:rPr>
              <w:rFonts w:hint="eastAsia" w:ascii="仿宋" w:hAnsi="仿宋" w:eastAsia="仿宋" w:cs="仿宋"/>
              <w:szCs w:val="28"/>
            </w:rPr>
            <w:t>2.3 投标人资质要求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_Toc28774 </w:instrText>
          </w:r>
          <w:r>
            <w:rPr>
              <w:rFonts w:hint="eastAsia" w:ascii="仿宋" w:hAnsi="仿宋" w:eastAsia="仿宋" w:cs="仿宋"/>
              <w:szCs w:val="28"/>
            </w:rPr>
            <w:fldChar w:fldCharType="separate"/>
          </w:r>
          <w:r>
            <w:rPr>
              <w:rFonts w:hint="eastAsia" w:ascii="仿宋" w:hAnsi="仿宋" w:eastAsia="仿宋" w:cs="仿宋"/>
              <w:szCs w:val="28"/>
            </w:rPr>
            <w:t>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"_Toc29355" </w:instrText>
          </w:r>
          <w:r>
            <w:fldChar w:fldCharType="separate"/>
          </w:r>
          <w:r>
            <w:rPr>
              <w:rFonts w:hint="eastAsia" w:ascii="仿宋" w:hAnsi="仿宋" w:eastAsia="仿宋" w:cs="仿宋"/>
              <w:szCs w:val="28"/>
            </w:rPr>
            <w:t>2.3.1 投标人要求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_Toc29355 </w:instrText>
          </w:r>
          <w:r>
            <w:rPr>
              <w:rFonts w:hint="eastAsia" w:ascii="仿宋" w:hAnsi="仿宋" w:eastAsia="仿宋" w:cs="仿宋"/>
              <w:szCs w:val="28"/>
            </w:rPr>
            <w:fldChar w:fldCharType="separate"/>
          </w:r>
          <w:r>
            <w:rPr>
              <w:rFonts w:hint="eastAsia" w:ascii="仿宋" w:hAnsi="仿宋" w:eastAsia="仿宋" w:cs="仿宋"/>
              <w:szCs w:val="28"/>
            </w:rPr>
            <w:t>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"_Toc20093" </w:instrText>
          </w:r>
          <w:r>
            <w:fldChar w:fldCharType="separate"/>
          </w:r>
          <w:r>
            <w:rPr>
              <w:rFonts w:hint="eastAsia" w:ascii="仿宋" w:hAnsi="仿宋" w:eastAsia="仿宋" w:cs="仿宋"/>
              <w:szCs w:val="28"/>
            </w:rPr>
            <w:t>2.3.2 投标人其它资质要求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_Toc20093 </w:instrText>
          </w:r>
          <w:r>
            <w:rPr>
              <w:rFonts w:hint="eastAsia" w:ascii="仿宋" w:hAnsi="仿宋" w:eastAsia="仿宋" w:cs="仿宋"/>
              <w:szCs w:val="28"/>
            </w:rPr>
            <w:fldChar w:fldCharType="separate"/>
          </w:r>
          <w:r>
            <w:rPr>
              <w:rFonts w:hint="eastAsia" w:ascii="仿宋" w:hAnsi="仿宋" w:eastAsia="仿宋" w:cs="仿宋"/>
              <w:szCs w:val="28"/>
            </w:rPr>
            <w:t>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"_Toc28955" </w:instrText>
          </w:r>
          <w:r>
            <w:fldChar w:fldCharType="separate"/>
          </w:r>
          <w:r>
            <w:rPr>
              <w:rFonts w:hint="eastAsia" w:ascii="仿宋" w:hAnsi="仿宋" w:eastAsia="仿宋" w:cs="仿宋"/>
              <w:szCs w:val="28"/>
            </w:rPr>
            <w:t>2.3.3 承担本项目能力和资格的有关资格证明材料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_Toc28955 </w:instrText>
          </w:r>
          <w:r>
            <w:rPr>
              <w:rFonts w:hint="eastAsia" w:ascii="仿宋" w:hAnsi="仿宋" w:eastAsia="仿宋" w:cs="仿宋"/>
              <w:szCs w:val="28"/>
            </w:rPr>
            <w:fldChar w:fldCharType="separate"/>
          </w:r>
          <w:r>
            <w:rPr>
              <w:rFonts w:hint="eastAsia" w:ascii="仿宋" w:hAnsi="仿宋" w:eastAsia="仿宋" w:cs="仿宋"/>
              <w:szCs w:val="28"/>
            </w:rPr>
            <w:t>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"_Toc3382" </w:instrText>
          </w:r>
          <w:r>
            <w:fldChar w:fldCharType="separate"/>
          </w:r>
          <w:r>
            <w:rPr>
              <w:rFonts w:hint="eastAsia" w:ascii="仿宋" w:hAnsi="仿宋" w:eastAsia="仿宋" w:cs="仿宋"/>
              <w:szCs w:val="28"/>
            </w:rPr>
            <w:t>2.4 投标文件的构成</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_Toc3382 </w:instrText>
          </w:r>
          <w:r>
            <w:rPr>
              <w:rFonts w:hint="eastAsia" w:ascii="仿宋" w:hAnsi="仿宋" w:eastAsia="仿宋" w:cs="仿宋"/>
              <w:szCs w:val="28"/>
            </w:rPr>
            <w:fldChar w:fldCharType="separate"/>
          </w:r>
          <w:r>
            <w:rPr>
              <w:rFonts w:hint="eastAsia" w:ascii="仿宋" w:hAnsi="仿宋" w:eastAsia="仿宋" w:cs="仿宋"/>
              <w:szCs w:val="28"/>
            </w:rPr>
            <w:t>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"_Toc31351" </w:instrText>
          </w:r>
          <w:r>
            <w:fldChar w:fldCharType="separate"/>
          </w:r>
          <w:r>
            <w:rPr>
              <w:rFonts w:hint="eastAsia" w:ascii="仿宋" w:hAnsi="仿宋" w:eastAsia="仿宋" w:cs="仿宋"/>
              <w:szCs w:val="28"/>
            </w:rPr>
            <w:t>2.4.1 商务标文件（包括但不限于下列主要内容）</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_Toc31351 </w:instrText>
          </w:r>
          <w:r>
            <w:rPr>
              <w:rFonts w:hint="eastAsia" w:ascii="仿宋" w:hAnsi="仿宋" w:eastAsia="仿宋" w:cs="仿宋"/>
              <w:szCs w:val="28"/>
            </w:rPr>
            <w:fldChar w:fldCharType="separate"/>
          </w:r>
          <w:r>
            <w:rPr>
              <w:rFonts w:hint="eastAsia" w:ascii="仿宋" w:hAnsi="仿宋" w:eastAsia="仿宋" w:cs="仿宋"/>
              <w:szCs w:val="28"/>
            </w:rPr>
            <w:t>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"_Toc17837" </w:instrText>
          </w:r>
          <w:r>
            <w:fldChar w:fldCharType="separate"/>
          </w:r>
          <w:r>
            <w:rPr>
              <w:rFonts w:hint="eastAsia" w:ascii="仿宋" w:hAnsi="仿宋" w:eastAsia="仿宋" w:cs="仿宋"/>
              <w:szCs w:val="28"/>
            </w:rPr>
            <w:t>2.4.2 技术标文件（包括但不限于下列主要内容）</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_Toc17837 </w:instrText>
          </w:r>
          <w:r>
            <w:rPr>
              <w:rFonts w:hint="eastAsia" w:ascii="仿宋" w:hAnsi="仿宋" w:eastAsia="仿宋" w:cs="仿宋"/>
              <w:szCs w:val="28"/>
            </w:rPr>
            <w:fldChar w:fldCharType="separate"/>
          </w:r>
          <w:r>
            <w:rPr>
              <w:rFonts w:hint="eastAsia" w:ascii="仿宋" w:hAnsi="仿宋" w:eastAsia="仿宋" w:cs="仿宋"/>
              <w:szCs w:val="28"/>
            </w:rPr>
            <w:t>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"_Toc25614" </w:instrText>
          </w:r>
          <w:r>
            <w:fldChar w:fldCharType="separate"/>
          </w:r>
          <w:r>
            <w:rPr>
              <w:rFonts w:hint="eastAsia" w:ascii="仿宋" w:hAnsi="仿宋" w:eastAsia="仿宋" w:cs="仿宋"/>
              <w:szCs w:val="28"/>
            </w:rPr>
            <w:t>2.5 投标文件书写及签名、盖章要求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_Toc25614 </w:instrText>
          </w:r>
          <w:r>
            <w:rPr>
              <w:rFonts w:hint="eastAsia" w:ascii="仿宋" w:hAnsi="仿宋" w:eastAsia="仿宋" w:cs="仿宋"/>
              <w:szCs w:val="28"/>
            </w:rPr>
            <w:fldChar w:fldCharType="separate"/>
          </w:r>
          <w:r>
            <w:rPr>
              <w:rFonts w:hint="eastAsia" w:ascii="仿宋" w:hAnsi="仿宋" w:eastAsia="仿宋" w:cs="仿宋"/>
              <w:szCs w:val="28"/>
            </w:rPr>
            <w:t>10</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"_Toc7696" </w:instrText>
          </w:r>
          <w:r>
            <w:fldChar w:fldCharType="separate"/>
          </w:r>
          <w:r>
            <w:rPr>
              <w:rFonts w:hint="eastAsia" w:ascii="仿宋" w:hAnsi="仿宋" w:eastAsia="仿宋" w:cs="仿宋"/>
              <w:szCs w:val="28"/>
            </w:rPr>
            <w:t>2.6 投标有效期</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_Toc7696 </w:instrText>
          </w:r>
          <w:r>
            <w:rPr>
              <w:rFonts w:hint="eastAsia" w:ascii="仿宋" w:hAnsi="仿宋" w:eastAsia="仿宋" w:cs="仿宋"/>
              <w:szCs w:val="28"/>
            </w:rPr>
            <w:fldChar w:fldCharType="separate"/>
          </w:r>
          <w:r>
            <w:rPr>
              <w:rFonts w:hint="eastAsia" w:ascii="仿宋" w:hAnsi="仿宋" w:eastAsia="仿宋" w:cs="仿宋"/>
              <w:szCs w:val="28"/>
            </w:rPr>
            <w:t>10</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"_Toc12553" </w:instrText>
          </w:r>
          <w:r>
            <w:fldChar w:fldCharType="separate"/>
          </w:r>
          <w:r>
            <w:rPr>
              <w:rFonts w:hint="eastAsia" w:ascii="仿宋" w:hAnsi="仿宋" w:eastAsia="仿宋" w:cs="仿宋"/>
              <w:szCs w:val="28"/>
            </w:rPr>
            <w:t>2.7 投标报价</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_Toc12553 </w:instrText>
          </w:r>
          <w:r>
            <w:rPr>
              <w:rFonts w:hint="eastAsia" w:ascii="仿宋" w:hAnsi="仿宋" w:eastAsia="仿宋" w:cs="仿宋"/>
              <w:szCs w:val="28"/>
            </w:rPr>
            <w:fldChar w:fldCharType="separate"/>
          </w:r>
          <w:r>
            <w:rPr>
              <w:rFonts w:hint="eastAsia" w:ascii="仿宋" w:hAnsi="仿宋" w:eastAsia="仿宋" w:cs="仿宋"/>
              <w:szCs w:val="28"/>
            </w:rPr>
            <w:t>10</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"_Toc29648" </w:instrText>
          </w:r>
          <w:r>
            <w:fldChar w:fldCharType="separate"/>
          </w:r>
          <w:r>
            <w:rPr>
              <w:rFonts w:hint="eastAsia" w:ascii="仿宋" w:hAnsi="仿宋" w:eastAsia="仿宋" w:cs="仿宋"/>
              <w:szCs w:val="28"/>
            </w:rPr>
            <w:t>2.8 投标文件的递交</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_Toc29648 </w:instrText>
          </w:r>
          <w:r>
            <w:rPr>
              <w:rFonts w:hint="eastAsia" w:ascii="仿宋" w:hAnsi="仿宋" w:eastAsia="仿宋" w:cs="仿宋"/>
              <w:szCs w:val="28"/>
            </w:rPr>
            <w:fldChar w:fldCharType="separate"/>
          </w:r>
          <w:r>
            <w:rPr>
              <w:rFonts w:hint="eastAsia" w:ascii="仿宋" w:hAnsi="仿宋" w:eastAsia="仿宋" w:cs="仿宋"/>
              <w:szCs w:val="28"/>
            </w:rPr>
            <w:t>11</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"_Toc15450" </w:instrText>
          </w:r>
          <w:r>
            <w:fldChar w:fldCharType="separate"/>
          </w:r>
          <w:r>
            <w:rPr>
              <w:rFonts w:hint="eastAsia" w:ascii="仿宋" w:hAnsi="仿宋" w:eastAsia="仿宋" w:cs="仿宋"/>
              <w:szCs w:val="28"/>
            </w:rPr>
            <w:t>2.9 开标和评标</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_Toc15450 </w:instrText>
          </w:r>
          <w:r>
            <w:rPr>
              <w:rFonts w:hint="eastAsia" w:ascii="仿宋" w:hAnsi="仿宋" w:eastAsia="仿宋" w:cs="仿宋"/>
              <w:szCs w:val="28"/>
            </w:rPr>
            <w:fldChar w:fldCharType="separate"/>
          </w:r>
          <w:r>
            <w:rPr>
              <w:rFonts w:hint="eastAsia" w:ascii="仿宋" w:hAnsi="仿宋" w:eastAsia="仿宋" w:cs="仿宋"/>
              <w:szCs w:val="28"/>
            </w:rPr>
            <w:t>12</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"_Toc25679" </w:instrText>
          </w:r>
          <w:r>
            <w:fldChar w:fldCharType="separate"/>
          </w:r>
          <w:r>
            <w:rPr>
              <w:rFonts w:hint="eastAsia" w:ascii="仿宋" w:hAnsi="仿宋" w:eastAsia="仿宋" w:cs="仿宋"/>
              <w:szCs w:val="28"/>
            </w:rPr>
            <w:t>2.10 授予合同</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_Toc25679 </w:instrText>
          </w:r>
          <w:r>
            <w:rPr>
              <w:rFonts w:hint="eastAsia" w:ascii="仿宋" w:hAnsi="仿宋" w:eastAsia="仿宋" w:cs="仿宋"/>
              <w:szCs w:val="28"/>
            </w:rPr>
            <w:fldChar w:fldCharType="separate"/>
          </w:r>
          <w:r>
            <w:rPr>
              <w:rFonts w:hint="eastAsia" w:ascii="仿宋" w:hAnsi="仿宋" w:eastAsia="仿宋" w:cs="仿宋"/>
              <w:szCs w:val="28"/>
            </w:rPr>
            <w:t>13</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"_Toc2857" </w:instrText>
          </w:r>
          <w:r>
            <w:fldChar w:fldCharType="separate"/>
          </w:r>
          <w:r>
            <w:rPr>
              <w:rFonts w:hint="eastAsia" w:ascii="仿宋" w:hAnsi="仿宋" w:eastAsia="仿宋" w:cs="仿宋"/>
              <w:szCs w:val="28"/>
            </w:rPr>
            <w:t>2.11 知识产权和保密</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_Toc2857 </w:instrText>
          </w:r>
          <w:r>
            <w:rPr>
              <w:rFonts w:hint="eastAsia" w:ascii="仿宋" w:hAnsi="仿宋" w:eastAsia="仿宋" w:cs="仿宋"/>
              <w:szCs w:val="28"/>
            </w:rPr>
            <w:fldChar w:fldCharType="separate"/>
          </w:r>
          <w:r>
            <w:rPr>
              <w:rFonts w:hint="eastAsia" w:ascii="仿宋" w:hAnsi="仿宋" w:eastAsia="仿宋" w:cs="仿宋"/>
              <w:szCs w:val="28"/>
            </w:rPr>
            <w:t>14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"_Toc4125" </w:instrText>
          </w:r>
          <w:r>
            <w:fldChar w:fldCharType="separate"/>
          </w:r>
          <w:r>
            <w:rPr>
              <w:rFonts w:hint="eastAsia" w:ascii="仿宋" w:hAnsi="仿宋" w:eastAsia="仿宋" w:cs="仿宋"/>
              <w:szCs w:val="28"/>
            </w:rPr>
            <w:t>2.12 有关事宜</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_Toc4125 </w:instrText>
          </w:r>
          <w:r>
            <w:rPr>
              <w:rFonts w:hint="eastAsia" w:ascii="仿宋" w:hAnsi="仿宋" w:eastAsia="仿宋" w:cs="仿宋"/>
              <w:szCs w:val="28"/>
            </w:rPr>
            <w:fldChar w:fldCharType="separate"/>
          </w:r>
          <w:r>
            <w:rPr>
              <w:rFonts w:hint="eastAsia" w:ascii="仿宋" w:hAnsi="仿宋" w:eastAsia="仿宋" w:cs="仿宋"/>
              <w:szCs w:val="28"/>
            </w:rPr>
            <w:t>14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"_Toc21415"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第三部分 </w:t>
          </w:r>
          <w:r>
            <w:rPr>
              <w:rFonts w:hint="eastAsia" w:ascii="方正小标宋简体" w:hAnsi="方正小标宋简体" w:eastAsia="方正小标宋简体" w:cs="方正小标宋简体"/>
              <w:kern w:val="0"/>
              <w:szCs w:val="44"/>
            </w:rPr>
            <w:t>项目概述</w:t>
          </w:r>
          <w:r>
            <w:tab/>
          </w:r>
          <w:r>
            <w:fldChar w:fldCharType="begin"/>
          </w:r>
          <w:r>
            <w:instrText xml:space="preserve"> PAGEREF _Toc21415 </w:instrText>
          </w:r>
          <w:r>
            <w:fldChar w:fldCharType="separate"/>
          </w:r>
          <w:r>
            <w:t>15</w:t>
          </w:r>
          <w:r>
            <w:fldChar w:fldCharType="end"/>
          </w:r>
          <w:r>
            <w:fldChar w:fldCharType="end"/>
          </w:r>
        </w:p>
        <w:p>
          <w:pPr>
            <w:pStyle w:val="27"/>
            <w:tabs>
              <w:tab w:val="right" w:leader="dot" w:pos="8845"/>
            </w:tabs>
            <w:ind w:firstLine="400"/>
          </w:pPr>
          <w:r>
            <w:fldChar w:fldCharType="begin"/>
          </w:r>
          <w:r>
            <w:instrText xml:space="preserve"> HYPERLINK \l "_Toc5381" </w:instrText>
          </w:r>
          <w:r>
            <w:fldChar w:fldCharType="separate"/>
          </w:r>
          <w:r>
            <w:rPr>
              <w:rFonts w:hint="eastAsia" w:ascii="黑体" w:hAnsi="黑体" w:eastAsia="黑体" w:cs="黑体"/>
              <w:bCs/>
              <w:szCs w:val="28"/>
            </w:rPr>
            <w:t>3.1 项目名称</w:t>
          </w:r>
          <w:r>
            <w:tab/>
          </w:r>
          <w:r>
            <w:fldChar w:fldCharType="begin"/>
          </w:r>
          <w:r>
            <w:instrText xml:space="preserve"> PAGEREF _Toc5381 </w:instrText>
          </w:r>
          <w:r>
            <w:fldChar w:fldCharType="separate"/>
          </w:r>
          <w:r>
            <w:t>15</w:t>
          </w:r>
          <w:r>
            <w:fldChar w:fldCharType="end"/>
          </w:r>
          <w:r>
            <w:fldChar w:fldCharType="end"/>
          </w:r>
        </w:p>
        <w:p>
          <w:pPr>
            <w:pStyle w:val="27"/>
            <w:tabs>
              <w:tab w:val="right" w:leader="dot" w:pos="8845"/>
            </w:tabs>
            <w:ind w:firstLine="400"/>
          </w:pPr>
          <w:r>
            <w:fldChar w:fldCharType="begin"/>
          </w:r>
          <w:r>
            <w:instrText xml:space="preserve"> HYPERLINK \l "_Toc25451" </w:instrText>
          </w:r>
          <w:r>
            <w:fldChar w:fldCharType="separate"/>
          </w:r>
          <w:r>
            <w:rPr>
              <w:rFonts w:hint="eastAsia" w:ascii="黑体" w:hAnsi="黑体" w:eastAsia="黑体" w:cs="黑体"/>
              <w:bCs/>
              <w:szCs w:val="28"/>
            </w:rPr>
            <w:t>3.2 项目目标定位</w:t>
          </w:r>
          <w:r>
            <w:tab/>
          </w:r>
          <w:r>
            <w:fldChar w:fldCharType="begin"/>
          </w:r>
          <w:r>
            <w:instrText xml:space="preserve"> PAGEREF _Toc25451 </w:instrText>
          </w:r>
          <w:r>
            <w:fldChar w:fldCharType="separate"/>
          </w:r>
          <w:r>
            <w:t>15</w:t>
          </w:r>
          <w:r>
            <w:fldChar w:fldCharType="end"/>
          </w:r>
          <w:r>
            <w:fldChar w:fldCharType="end"/>
          </w:r>
        </w:p>
        <w:p>
          <w:pPr>
            <w:pStyle w:val="23"/>
            <w:tabs>
              <w:tab w:val="right" w:leader="dot" w:pos="8845"/>
            </w:tabs>
            <w:ind w:firstLine="402"/>
          </w:pPr>
          <w:r>
            <w:fldChar w:fldCharType="begin"/>
          </w:r>
          <w:r>
            <w:instrText xml:space="preserve"> HYPERLINK \l "_Toc23915"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第四部分 </w:t>
          </w:r>
          <w:r>
            <w:rPr>
              <w:rFonts w:hint="eastAsia" w:ascii="方正小标宋简体" w:hAnsi="方正小标宋简体" w:eastAsia="方正小标宋简体" w:cs="方正小标宋简体"/>
              <w:kern w:val="0"/>
              <w:szCs w:val="44"/>
            </w:rPr>
            <w:t>建设内容</w:t>
          </w:r>
          <w:r>
            <w:tab/>
          </w:r>
          <w:r>
            <w:fldChar w:fldCharType="begin"/>
          </w:r>
          <w:r>
            <w:instrText xml:space="preserve"> PAGEREF _Toc23915 </w:instrText>
          </w:r>
          <w:r>
            <w:fldChar w:fldCharType="separate"/>
          </w:r>
          <w:r>
            <w:t>15</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"_Toc10693" </w:instrText>
          </w:r>
          <w:r>
            <w:fldChar w:fldCharType="separate"/>
          </w:r>
          <w:r>
            <w:rPr>
              <w:rFonts w:hint="eastAsia" w:ascii="仿宋" w:hAnsi="仿宋" w:eastAsia="仿宋" w:cs="仿宋"/>
              <w:szCs w:val="28"/>
            </w:rPr>
            <w:t>4.1 统一门户</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_Toc10693 </w:instrText>
          </w:r>
          <w:r>
            <w:rPr>
              <w:rFonts w:hint="eastAsia" w:ascii="仿宋" w:hAnsi="仿宋" w:eastAsia="仿宋" w:cs="仿宋"/>
              <w:szCs w:val="28"/>
            </w:rPr>
            <w:fldChar w:fldCharType="separate"/>
          </w:r>
          <w:r>
            <w:rPr>
              <w:rFonts w:hint="eastAsia" w:ascii="仿宋" w:hAnsi="仿宋" w:eastAsia="仿宋" w:cs="仿宋"/>
              <w:szCs w:val="28"/>
            </w:rPr>
            <w:t>15</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"_Toc6103" </w:instrText>
          </w:r>
          <w:r>
            <w:fldChar w:fldCharType="separate"/>
          </w:r>
          <w:r>
            <w:rPr>
              <w:rFonts w:hint="eastAsia" w:ascii="仿宋" w:hAnsi="仿宋" w:eastAsia="仿宋" w:cs="仿宋"/>
              <w:szCs w:val="28"/>
            </w:rPr>
            <w:t>4.2 数字化办公平台</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_Toc6103 </w:instrText>
          </w:r>
          <w:r>
            <w:rPr>
              <w:rFonts w:hint="eastAsia" w:ascii="仿宋" w:hAnsi="仿宋" w:eastAsia="仿宋" w:cs="仿宋"/>
              <w:szCs w:val="28"/>
            </w:rPr>
            <w:fldChar w:fldCharType="separate"/>
          </w:r>
          <w:r>
            <w:rPr>
              <w:rFonts w:hint="eastAsia" w:ascii="仿宋" w:hAnsi="仿宋" w:eastAsia="仿宋" w:cs="仿宋"/>
              <w:szCs w:val="28"/>
            </w:rPr>
            <w:t>16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"_Toc3505" </w:instrText>
          </w:r>
          <w:r>
            <w:fldChar w:fldCharType="separate"/>
          </w:r>
          <w:r>
            <w:rPr>
              <w:rFonts w:hint="eastAsia" w:ascii="仿宋" w:hAnsi="仿宋" w:eastAsia="仿宋" w:cs="仿宋"/>
              <w:szCs w:val="28"/>
            </w:rPr>
            <w:t>4.3 系统集成</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_Toc3505 </w:instrText>
          </w:r>
          <w:r>
            <w:rPr>
              <w:rFonts w:hint="eastAsia" w:ascii="仿宋" w:hAnsi="仿宋" w:eastAsia="仿宋" w:cs="仿宋"/>
              <w:szCs w:val="28"/>
            </w:rPr>
            <w:fldChar w:fldCharType="separate"/>
          </w:r>
          <w:r>
            <w:rPr>
              <w:rFonts w:hint="eastAsia" w:ascii="仿宋" w:hAnsi="仿宋" w:eastAsia="仿宋" w:cs="仿宋"/>
              <w:szCs w:val="28"/>
            </w:rPr>
            <w:t>16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"_Toc32673"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第五部分 </w:t>
          </w:r>
          <w:r>
            <w:rPr>
              <w:rFonts w:hint="eastAsia" w:ascii="黑体" w:hAnsi="黑体" w:eastAsia="黑体" w:cs="黑体"/>
              <w:bCs w:val="0"/>
              <w:kern w:val="0"/>
              <w:szCs w:val="32"/>
            </w:rPr>
            <w:t>建设原则</w:t>
          </w:r>
          <w:r>
            <w:tab/>
          </w:r>
          <w:r>
            <w:fldChar w:fldCharType="begin"/>
          </w:r>
          <w:r>
            <w:instrText xml:space="preserve"> PAGEREF _Toc32673 </w:instrText>
          </w:r>
          <w:r>
            <w:fldChar w:fldCharType="separate"/>
          </w:r>
          <w:r>
            <w:t>16</w:t>
          </w:r>
          <w:r>
            <w:fldChar w:fldCharType="end"/>
          </w:r>
          <w:r>
            <w:fldChar w:fldCharType="end"/>
          </w:r>
        </w:p>
        <w:p>
          <w:pPr>
            <w:pStyle w:val="23"/>
            <w:tabs>
              <w:tab w:val="right" w:leader="dot" w:pos="8845"/>
            </w:tabs>
            <w:ind w:firstLine="402"/>
          </w:pPr>
          <w:r>
            <w:fldChar w:fldCharType="begin"/>
          </w:r>
          <w:r>
            <w:instrText xml:space="preserve"> HYPERLINK \l "_Toc13386"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第六部分 </w:t>
          </w:r>
          <w:r>
            <w:rPr>
              <w:rFonts w:hint="eastAsia" w:ascii="黑体" w:hAnsi="黑体" w:eastAsia="黑体" w:cs="黑体"/>
              <w:bCs w:val="0"/>
              <w:kern w:val="0"/>
              <w:szCs w:val="32"/>
            </w:rPr>
            <w:t>设计原则</w:t>
          </w:r>
          <w:r>
            <w:tab/>
          </w:r>
          <w:r>
            <w:fldChar w:fldCharType="begin"/>
          </w:r>
          <w:r>
            <w:instrText xml:space="preserve"> PAGEREF _Toc13386 </w:instrText>
          </w:r>
          <w:r>
            <w:fldChar w:fldCharType="separate"/>
          </w:r>
          <w:r>
            <w:t>17</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"_Toc10255" </w:instrText>
          </w:r>
          <w:r>
            <w:fldChar w:fldCharType="separate"/>
          </w:r>
          <w:r>
            <w:rPr>
              <w:rFonts w:hint="eastAsia" w:ascii="仿宋" w:hAnsi="仿宋" w:eastAsia="仿宋" w:cs="仿宋"/>
              <w:szCs w:val="28"/>
            </w:rPr>
            <w:t>6.1 安全性原则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_Toc10255 </w:instrText>
          </w:r>
          <w:r>
            <w:rPr>
              <w:rFonts w:hint="eastAsia" w:ascii="仿宋" w:hAnsi="仿宋" w:eastAsia="仿宋" w:cs="仿宋"/>
              <w:szCs w:val="28"/>
            </w:rPr>
            <w:fldChar w:fldCharType="separate"/>
          </w:r>
          <w:r>
            <w:rPr>
              <w:rFonts w:hint="eastAsia" w:ascii="仿宋" w:hAnsi="仿宋" w:eastAsia="仿宋" w:cs="仿宋"/>
              <w:szCs w:val="28"/>
            </w:rPr>
            <w:t>17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"_Toc17393" </w:instrText>
          </w:r>
          <w:r>
            <w:fldChar w:fldCharType="separate"/>
          </w:r>
          <w:r>
            <w:rPr>
              <w:rFonts w:hint="eastAsia" w:ascii="仿宋" w:hAnsi="仿宋" w:eastAsia="仿宋" w:cs="仿宋"/>
              <w:szCs w:val="28"/>
            </w:rPr>
            <w:t>6.2 成熟性原则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_Toc17393 </w:instrText>
          </w:r>
          <w:r>
            <w:rPr>
              <w:rFonts w:hint="eastAsia" w:ascii="仿宋" w:hAnsi="仿宋" w:eastAsia="仿宋" w:cs="仿宋"/>
              <w:szCs w:val="28"/>
            </w:rPr>
            <w:fldChar w:fldCharType="separate"/>
          </w:r>
          <w:r>
            <w:rPr>
              <w:rFonts w:hint="eastAsia" w:ascii="仿宋" w:hAnsi="仿宋" w:eastAsia="仿宋" w:cs="仿宋"/>
              <w:szCs w:val="28"/>
            </w:rPr>
            <w:t>17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"_Toc17774" </w:instrText>
          </w:r>
          <w:r>
            <w:fldChar w:fldCharType="separate"/>
          </w:r>
          <w:r>
            <w:rPr>
              <w:rFonts w:hint="eastAsia" w:ascii="仿宋" w:hAnsi="仿宋" w:eastAsia="仿宋" w:cs="仿宋"/>
              <w:szCs w:val="28"/>
            </w:rPr>
            <w:t>6.3 标准化原则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_Toc17774 </w:instrText>
          </w:r>
          <w:r>
            <w:rPr>
              <w:rFonts w:hint="eastAsia" w:ascii="仿宋" w:hAnsi="仿宋" w:eastAsia="仿宋" w:cs="仿宋"/>
              <w:szCs w:val="28"/>
            </w:rPr>
            <w:fldChar w:fldCharType="separate"/>
          </w:r>
          <w:r>
            <w:rPr>
              <w:rFonts w:hint="eastAsia" w:ascii="仿宋" w:hAnsi="仿宋" w:eastAsia="仿宋" w:cs="仿宋"/>
              <w:szCs w:val="28"/>
            </w:rPr>
            <w:t>17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"_Toc20861" </w:instrText>
          </w:r>
          <w:r>
            <w:fldChar w:fldCharType="separate"/>
          </w:r>
          <w:r>
            <w:rPr>
              <w:rFonts w:hint="eastAsia" w:ascii="仿宋" w:hAnsi="仿宋" w:eastAsia="仿宋" w:cs="仿宋"/>
              <w:szCs w:val="28"/>
            </w:rPr>
            <w:t>6.4 易用性原则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_Toc20861 </w:instrText>
          </w:r>
          <w:r>
            <w:rPr>
              <w:rFonts w:hint="eastAsia" w:ascii="仿宋" w:hAnsi="仿宋" w:eastAsia="仿宋" w:cs="仿宋"/>
              <w:szCs w:val="28"/>
            </w:rPr>
            <w:fldChar w:fldCharType="separate"/>
          </w:r>
          <w:r>
            <w:rPr>
              <w:rFonts w:hint="eastAsia" w:ascii="仿宋" w:hAnsi="仿宋" w:eastAsia="仿宋" w:cs="仿宋"/>
              <w:szCs w:val="28"/>
            </w:rPr>
            <w:t>17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"_Toc3052" </w:instrText>
          </w:r>
          <w:r>
            <w:fldChar w:fldCharType="separate"/>
          </w:r>
          <w:r>
            <w:rPr>
              <w:rFonts w:hint="eastAsia" w:ascii="仿宋" w:hAnsi="仿宋" w:eastAsia="仿宋" w:cs="仿宋"/>
              <w:szCs w:val="28"/>
            </w:rPr>
            <w:t>6.5 开放性原则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_Toc3052 </w:instrText>
          </w:r>
          <w:r>
            <w:rPr>
              <w:rFonts w:hint="eastAsia" w:ascii="仿宋" w:hAnsi="仿宋" w:eastAsia="仿宋" w:cs="仿宋"/>
              <w:szCs w:val="28"/>
            </w:rPr>
            <w:fldChar w:fldCharType="separate"/>
          </w:r>
          <w:r>
            <w:rPr>
              <w:rFonts w:hint="eastAsia" w:ascii="仿宋" w:hAnsi="仿宋" w:eastAsia="仿宋" w:cs="仿宋"/>
              <w:szCs w:val="28"/>
            </w:rPr>
            <w:t>18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"_Toc20536" </w:instrText>
          </w:r>
          <w:r>
            <w:fldChar w:fldCharType="separate"/>
          </w:r>
          <w:r>
            <w:rPr>
              <w:rFonts w:hint="eastAsia" w:ascii="仿宋" w:hAnsi="仿宋" w:eastAsia="仿宋" w:cs="仿宋"/>
              <w:szCs w:val="28"/>
            </w:rPr>
            <w:t>6.6 可维护性原则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_Toc20536 </w:instrText>
          </w:r>
          <w:r>
            <w:rPr>
              <w:rFonts w:hint="eastAsia" w:ascii="仿宋" w:hAnsi="仿宋" w:eastAsia="仿宋" w:cs="仿宋"/>
              <w:szCs w:val="28"/>
            </w:rPr>
            <w:fldChar w:fldCharType="separate"/>
          </w:r>
          <w:r>
            <w:rPr>
              <w:rFonts w:hint="eastAsia" w:ascii="仿宋" w:hAnsi="仿宋" w:eastAsia="仿宋" w:cs="仿宋"/>
              <w:szCs w:val="28"/>
            </w:rPr>
            <w:t>18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"_Toc14906"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第七部分 </w:t>
          </w:r>
          <w:r>
            <w:rPr>
              <w:rFonts w:hint="eastAsia" w:ascii="黑体" w:hAnsi="黑体" w:eastAsia="黑体" w:cs="黑体"/>
              <w:bCs w:val="0"/>
              <w:kern w:val="0"/>
              <w:szCs w:val="32"/>
            </w:rPr>
            <w:t>技术需求</w:t>
          </w:r>
          <w:r>
            <w:tab/>
          </w:r>
          <w:r>
            <w:fldChar w:fldCharType="begin"/>
          </w:r>
          <w:r>
            <w:instrText xml:space="preserve"> PAGEREF _Toc14906 </w:instrText>
          </w:r>
          <w:r>
            <w:fldChar w:fldCharType="separate"/>
          </w:r>
          <w:r>
            <w:t>18</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"_Toc25203" </w:instrText>
          </w:r>
          <w:r>
            <w:fldChar w:fldCharType="separate"/>
          </w:r>
          <w:r>
            <w:rPr>
              <w:rFonts w:hint="eastAsia" w:ascii="仿宋" w:hAnsi="仿宋" w:eastAsia="仿宋" w:cs="仿宋"/>
              <w:szCs w:val="28"/>
            </w:rPr>
            <w:t>7.1 系统平台架构</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_Toc25203 </w:instrText>
          </w:r>
          <w:r>
            <w:rPr>
              <w:rFonts w:hint="eastAsia" w:ascii="仿宋" w:hAnsi="仿宋" w:eastAsia="仿宋" w:cs="仿宋"/>
              <w:szCs w:val="28"/>
            </w:rPr>
            <w:fldChar w:fldCharType="separate"/>
          </w:r>
          <w:r>
            <w:rPr>
              <w:rFonts w:hint="eastAsia" w:ascii="仿宋" w:hAnsi="仿宋" w:eastAsia="仿宋" w:cs="仿宋"/>
              <w:szCs w:val="28"/>
            </w:rPr>
            <w:t>18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"_Toc22076" </w:instrText>
          </w:r>
          <w:r>
            <w:fldChar w:fldCharType="separate"/>
          </w:r>
          <w:r>
            <w:rPr>
              <w:rFonts w:hint="eastAsia" w:ascii="仿宋" w:hAnsi="仿宋" w:eastAsia="仿宋" w:cs="仿宋"/>
              <w:szCs w:val="28"/>
            </w:rPr>
            <w:t>7.2 系统平台软件要求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_Toc22076 </w:instrText>
          </w:r>
          <w:r>
            <w:rPr>
              <w:rFonts w:hint="eastAsia" w:ascii="仿宋" w:hAnsi="仿宋" w:eastAsia="仿宋" w:cs="仿宋"/>
              <w:szCs w:val="28"/>
            </w:rPr>
            <w:fldChar w:fldCharType="separate"/>
          </w:r>
          <w:r>
            <w:rPr>
              <w:rFonts w:hint="eastAsia" w:ascii="仿宋" w:hAnsi="仿宋" w:eastAsia="仿宋" w:cs="仿宋"/>
              <w:szCs w:val="28"/>
            </w:rPr>
            <w:t>19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"_Toc6127" </w:instrText>
          </w:r>
          <w:r>
            <w:fldChar w:fldCharType="separate"/>
          </w:r>
          <w:r>
            <w:rPr>
              <w:rFonts w:hint="eastAsia" w:ascii="仿宋" w:hAnsi="仿宋" w:eastAsia="仿宋" w:cs="仿宋"/>
              <w:szCs w:val="28"/>
            </w:rPr>
            <w:t>7.3 系统专有技术需求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_Toc6127 </w:instrText>
          </w:r>
          <w:r>
            <w:rPr>
              <w:rFonts w:hint="eastAsia" w:ascii="仿宋" w:hAnsi="仿宋" w:eastAsia="仿宋" w:cs="仿宋"/>
              <w:szCs w:val="28"/>
            </w:rPr>
            <w:fldChar w:fldCharType="separate"/>
          </w:r>
          <w:r>
            <w:rPr>
              <w:rFonts w:hint="eastAsia" w:ascii="仿宋" w:hAnsi="仿宋" w:eastAsia="仿宋" w:cs="仿宋"/>
              <w:szCs w:val="28"/>
            </w:rPr>
            <w:t>20</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"_Toc5212" </w:instrText>
          </w:r>
          <w:r>
            <w:fldChar w:fldCharType="separate"/>
          </w:r>
          <w:r>
            <w:rPr>
              <w:rFonts w:hint="eastAsia" w:ascii="仿宋" w:hAnsi="仿宋" w:eastAsia="仿宋" w:cs="仿宋"/>
              <w:szCs w:val="28"/>
            </w:rPr>
            <w:t>7.4 方案设计技术要求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_Toc5212 </w:instrText>
          </w:r>
          <w:r>
            <w:rPr>
              <w:rFonts w:hint="eastAsia" w:ascii="仿宋" w:hAnsi="仿宋" w:eastAsia="仿宋" w:cs="仿宋"/>
              <w:szCs w:val="28"/>
            </w:rPr>
            <w:fldChar w:fldCharType="separate"/>
          </w:r>
          <w:r>
            <w:rPr>
              <w:rFonts w:hint="eastAsia" w:ascii="仿宋" w:hAnsi="仿宋" w:eastAsia="仿宋" w:cs="仿宋"/>
              <w:szCs w:val="28"/>
            </w:rPr>
            <w:t>21</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"_Toc20600" </w:instrText>
          </w:r>
          <w:r>
            <w:fldChar w:fldCharType="separate"/>
          </w:r>
          <w:r>
            <w:rPr>
              <w:rFonts w:hint="eastAsia" w:ascii="仿宋" w:hAnsi="仿宋" w:eastAsia="仿宋" w:cs="仿宋"/>
              <w:szCs w:val="28"/>
            </w:rPr>
            <w:t>7.5 其他技术要求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_Toc20600 </w:instrText>
          </w:r>
          <w:r>
            <w:rPr>
              <w:rFonts w:hint="eastAsia" w:ascii="仿宋" w:hAnsi="仿宋" w:eastAsia="仿宋" w:cs="仿宋"/>
              <w:szCs w:val="28"/>
            </w:rPr>
            <w:fldChar w:fldCharType="separate"/>
          </w:r>
          <w:r>
            <w:rPr>
              <w:rFonts w:hint="eastAsia" w:ascii="仿宋" w:hAnsi="仿宋" w:eastAsia="仿宋" w:cs="仿宋"/>
              <w:szCs w:val="28"/>
            </w:rPr>
            <w:t>23</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"_Toc26157" </w:instrText>
          </w:r>
          <w:r>
            <w:fldChar w:fldCharType="separate"/>
          </w:r>
          <w:r>
            <w:rPr>
              <w:rFonts w:hint="eastAsia" w:ascii="方正小标宋简体" w:hAnsi="方正小标宋简体" w:eastAsia="方正小标宋简体" w:cs="方正小标宋简体"/>
              <w:caps w:val="0"/>
              <w:szCs w:val="44"/>
              <w14:scene3d>
                <w14:lightRig w14:rig="threePt" w14:dir="t">
                  <w14:rot w14:lat="0" w14:lon="0" w14:rev="0"/>
                </w14:lightRig>
              </w14:scene3d>
            </w:rPr>
            <w:t xml:space="preserve">第八部分 </w:t>
          </w:r>
          <w:r>
            <w:rPr>
              <w:rFonts w:hint="eastAsia" w:ascii="黑体" w:hAnsi="黑体" w:eastAsia="黑体" w:cs="黑体"/>
              <w:bCs w:val="0"/>
              <w:kern w:val="0"/>
              <w:szCs w:val="32"/>
            </w:rPr>
            <w:t>功能需求</w:t>
          </w:r>
          <w:r>
            <w:tab/>
          </w:r>
          <w:r>
            <w:fldChar w:fldCharType="begin"/>
          </w:r>
          <w:r>
            <w:instrText xml:space="preserve"> PAGEREF _Toc26157 </w:instrText>
          </w:r>
          <w:r>
            <w:fldChar w:fldCharType="separate"/>
          </w:r>
          <w:r>
            <w:t>23</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"_Toc27742" </w:instrText>
          </w:r>
          <w:r>
            <w:fldChar w:fldCharType="separate"/>
          </w:r>
          <w:r>
            <w:rPr>
              <w:rFonts w:hint="eastAsia" w:ascii="仿宋" w:hAnsi="仿宋" w:eastAsia="仿宋" w:cs="仿宋"/>
              <w:szCs w:val="28"/>
            </w:rPr>
            <w:t>8.1 项目建设框架</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_Toc27742 </w:instrText>
          </w:r>
          <w:r>
            <w:rPr>
              <w:rFonts w:hint="eastAsia" w:ascii="仿宋" w:hAnsi="仿宋" w:eastAsia="仿宋" w:cs="仿宋"/>
              <w:szCs w:val="28"/>
            </w:rPr>
            <w:fldChar w:fldCharType="separate"/>
          </w:r>
          <w:r>
            <w:rPr>
              <w:rFonts w:hint="eastAsia" w:ascii="仿宋" w:hAnsi="仿宋" w:eastAsia="仿宋" w:cs="仿宋"/>
              <w:szCs w:val="28"/>
            </w:rPr>
            <w:t>23</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"_Toc21389" </w:instrText>
          </w:r>
          <w:r>
            <w:fldChar w:fldCharType="separate"/>
          </w:r>
          <w:r>
            <w:rPr>
              <w:rFonts w:hint="eastAsia" w:ascii="仿宋" w:hAnsi="仿宋" w:eastAsia="仿宋" w:cs="仿宋"/>
              <w:szCs w:val="28"/>
            </w:rPr>
            <w:t>8.2 统一门户</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_Toc21389 </w:instrText>
          </w:r>
          <w:r>
            <w:rPr>
              <w:rFonts w:hint="eastAsia" w:ascii="仿宋" w:hAnsi="仿宋" w:eastAsia="仿宋" w:cs="仿宋"/>
              <w:szCs w:val="28"/>
            </w:rPr>
            <w:fldChar w:fldCharType="separate"/>
          </w:r>
          <w:r>
            <w:rPr>
              <w:rFonts w:hint="eastAsia" w:ascii="仿宋" w:hAnsi="仿宋" w:eastAsia="仿宋" w:cs="仿宋"/>
              <w:szCs w:val="28"/>
            </w:rPr>
            <w:t>24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"_Toc433" </w:instrText>
          </w:r>
          <w:r>
            <w:fldChar w:fldCharType="separate"/>
          </w:r>
          <w:r>
            <w:rPr>
              <w:rFonts w:hint="eastAsia" w:ascii="仿宋" w:hAnsi="仿宋" w:eastAsia="仿宋" w:cs="仿宋"/>
              <w:szCs w:val="28"/>
            </w:rPr>
            <w:t>8.2.1 统一门户</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_Toc433 </w:instrText>
          </w:r>
          <w:r>
            <w:rPr>
              <w:rFonts w:hint="eastAsia" w:ascii="仿宋" w:hAnsi="仿宋" w:eastAsia="仿宋" w:cs="仿宋"/>
              <w:szCs w:val="28"/>
            </w:rPr>
            <w:fldChar w:fldCharType="separate"/>
          </w:r>
          <w:r>
            <w:rPr>
              <w:rFonts w:hint="eastAsia" w:ascii="仿宋" w:hAnsi="仿宋" w:eastAsia="仿宋" w:cs="仿宋"/>
              <w:szCs w:val="28"/>
            </w:rPr>
            <w:t>24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"_Toc6497" </w:instrText>
          </w:r>
          <w:r>
            <w:fldChar w:fldCharType="separate"/>
          </w:r>
          <w:r>
            <w:rPr>
              <w:rFonts w:hint="eastAsia" w:ascii="仿宋" w:hAnsi="仿宋" w:eastAsia="仿宋" w:cs="仿宋"/>
              <w:szCs w:val="28"/>
            </w:rPr>
            <w:t>8.2.2 门户界面管理</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_Toc6497 </w:instrText>
          </w:r>
          <w:r>
            <w:rPr>
              <w:rFonts w:hint="eastAsia" w:ascii="仿宋" w:hAnsi="仿宋" w:eastAsia="仿宋" w:cs="仿宋"/>
              <w:szCs w:val="28"/>
            </w:rPr>
            <w:fldChar w:fldCharType="separate"/>
          </w:r>
          <w:r>
            <w:rPr>
              <w:rFonts w:hint="eastAsia" w:ascii="仿宋" w:hAnsi="仿宋" w:eastAsia="仿宋" w:cs="仿宋"/>
              <w:szCs w:val="28"/>
            </w:rPr>
            <w:t>25</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"_Toc17518" </w:instrText>
          </w:r>
          <w:r>
            <w:fldChar w:fldCharType="separate"/>
          </w:r>
          <w:r>
            <w:rPr>
              <w:rFonts w:hint="eastAsia" w:ascii="仿宋" w:hAnsi="仿宋" w:eastAsia="仿宋" w:cs="仿宋"/>
              <w:szCs w:val="28"/>
            </w:rPr>
            <w:t>8.2.3 门户信息管理</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_Toc17518 </w:instrText>
          </w:r>
          <w:r>
            <w:rPr>
              <w:rFonts w:hint="eastAsia" w:ascii="仿宋" w:hAnsi="仿宋" w:eastAsia="仿宋" w:cs="仿宋"/>
              <w:szCs w:val="28"/>
            </w:rPr>
            <w:fldChar w:fldCharType="separate"/>
          </w:r>
          <w:r>
            <w:rPr>
              <w:rFonts w:hint="eastAsia" w:ascii="仿宋" w:hAnsi="仿宋" w:eastAsia="仿宋" w:cs="仿宋"/>
              <w:szCs w:val="28"/>
            </w:rPr>
            <w:t>26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"_Toc9116" </w:instrText>
          </w:r>
          <w:r>
            <w:fldChar w:fldCharType="separate"/>
          </w:r>
          <w:r>
            <w:rPr>
              <w:rFonts w:hint="eastAsia" w:ascii="仿宋" w:hAnsi="仿宋" w:eastAsia="仿宋" w:cs="仿宋"/>
              <w:szCs w:val="28"/>
            </w:rPr>
            <w:t>8.2.4 门户标准管理</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_Toc9116 </w:instrText>
          </w:r>
          <w:r>
            <w:rPr>
              <w:rFonts w:hint="eastAsia" w:ascii="仿宋" w:hAnsi="仿宋" w:eastAsia="仿宋" w:cs="仿宋"/>
              <w:szCs w:val="28"/>
            </w:rPr>
            <w:fldChar w:fldCharType="separate"/>
          </w:r>
          <w:r>
            <w:rPr>
              <w:rFonts w:hint="eastAsia" w:ascii="仿宋" w:hAnsi="仿宋" w:eastAsia="仿宋" w:cs="仿宋"/>
              <w:szCs w:val="28"/>
            </w:rPr>
            <w:t>27</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"_Toc255" </w:instrText>
          </w:r>
          <w:r>
            <w:fldChar w:fldCharType="separate"/>
          </w:r>
          <w:r>
            <w:rPr>
              <w:rFonts w:hint="eastAsia" w:ascii="仿宋" w:hAnsi="仿宋" w:eastAsia="仿宋" w:cs="仿宋"/>
              <w:szCs w:val="28"/>
            </w:rPr>
            <w:t>8.3 数字化办公平台</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_Toc255 </w:instrText>
          </w:r>
          <w:r>
            <w:rPr>
              <w:rFonts w:hint="eastAsia" w:ascii="仿宋" w:hAnsi="仿宋" w:eastAsia="仿宋" w:cs="仿宋"/>
              <w:szCs w:val="28"/>
            </w:rPr>
            <w:fldChar w:fldCharType="separate"/>
          </w:r>
          <w:r>
            <w:rPr>
              <w:rFonts w:hint="eastAsia" w:ascii="仿宋" w:hAnsi="仿宋" w:eastAsia="仿宋" w:cs="仿宋"/>
              <w:szCs w:val="28"/>
            </w:rPr>
            <w:t>29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"_Toc25664" </w:instrText>
          </w:r>
          <w:r>
            <w:fldChar w:fldCharType="separate"/>
          </w:r>
          <w:r>
            <w:rPr>
              <w:rFonts w:hint="eastAsia" w:ascii="仿宋" w:hAnsi="仿宋" w:eastAsia="仿宋" w:cs="仿宋"/>
              <w:szCs w:val="28"/>
            </w:rPr>
            <w:t>8.3.1 行政办公管理</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_Toc25664 </w:instrText>
          </w:r>
          <w:r>
            <w:rPr>
              <w:rFonts w:hint="eastAsia" w:ascii="仿宋" w:hAnsi="仿宋" w:eastAsia="仿宋" w:cs="仿宋"/>
              <w:szCs w:val="28"/>
            </w:rPr>
            <w:fldChar w:fldCharType="separate"/>
          </w:r>
          <w:r>
            <w:rPr>
              <w:rFonts w:hint="eastAsia" w:ascii="仿宋" w:hAnsi="仿宋" w:eastAsia="仿宋" w:cs="仿宋"/>
              <w:szCs w:val="28"/>
            </w:rPr>
            <w:t>29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"_Toc17331" </w:instrText>
          </w:r>
          <w:r>
            <w:fldChar w:fldCharType="separate"/>
          </w:r>
          <w:r>
            <w:rPr>
              <w:rFonts w:hint="eastAsia" w:ascii="仿宋" w:hAnsi="仿宋" w:eastAsia="仿宋" w:cs="仿宋"/>
              <w:szCs w:val="28"/>
            </w:rPr>
            <w:t>8.3.2 日常办公管理</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_Toc17331 </w:instrText>
          </w:r>
          <w:r>
            <w:rPr>
              <w:rFonts w:hint="eastAsia" w:ascii="仿宋" w:hAnsi="仿宋" w:eastAsia="仿宋" w:cs="仿宋"/>
              <w:szCs w:val="28"/>
            </w:rPr>
            <w:fldChar w:fldCharType="separate"/>
          </w:r>
          <w:r>
            <w:rPr>
              <w:rFonts w:hint="eastAsia" w:ascii="仿宋" w:hAnsi="仿宋" w:eastAsia="仿宋" w:cs="仿宋"/>
              <w:szCs w:val="28"/>
            </w:rPr>
            <w:t>38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"_Toc22372" </w:instrText>
          </w:r>
          <w:r>
            <w:fldChar w:fldCharType="separate"/>
          </w:r>
          <w:r>
            <w:rPr>
              <w:rFonts w:hint="eastAsia" w:ascii="方正小标宋简体" w:hAnsi="方正小标宋简体" w:eastAsia="方正小标宋简体" w:cs="方正小标宋简体"/>
              <w:caps w:val="0"/>
              <w:szCs w:val="44"/>
              <w14:scene3d>
                <w14:lightRig w14:rig="threePt" w14:dir="t">
                  <w14:rot w14:lat="0" w14:lon="0" w14:rev="0"/>
                </w14:lightRig>
              </w14:scene3d>
            </w:rPr>
            <w:t xml:space="preserve">第九部分 </w:t>
          </w:r>
          <w:r>
            <w:rPr>
              <w:rFonts w:hint="eastAsia" w:ascii="黑体" w:hAnsi="黑体" w:eastAsia="黑体" w:cs="黑体"/>
              <w:bCs w:val="0"/>
              <w:kern w:val="0"/>
              <w:szCs w:val="32"/>
            </w:rPr>
            <w:t>非功能性需求</w:t>
          </w:r>
          <w:r>
            <w:tab/>
          </w:r>
          <w:r>
            <w:fldChar w:fldCharType="begin"/>
          </w:r>
          <w:r>
            <w:instrText xml:space="preserve"> PAGEREF _Toc22372 </w:instrText>
          </w:r>
          <w:r>
            <w:fldChar w:fldCharType="separate"/>
          </w:r>
          <w:r>
            <w:t>53</w:t>
          </w:r>
          <w:r>
            <w:fldChar w:fldCharType="end"/>
          </w:r>
          <w:r>
            <w:fldChar w:fldCharType="end"/>
          </w:r>
        </w:p>
        <w:p>
          <w:pPr>
            <w:pStyle w:val="27"/>
            <w:tabs>
              <w:tab w:val="right" w:leader="dot" w:pos="8845"/>
            </w:tabs>
            <w:ind w:firstLine="400"/>
          </w:pPr>
          <w:r>
            <w:fldChar w:fldCharType="begin"/>
          </w:r>
          <w:r>
            <w:instrText xml:space="preserve"> HYPERLINK \l "_Toc23845" </w:instrText>
          </w:r>
          <w:r>
            <w:fldChar w:fldCharType="separate"/>
          </w:r>
          <w:r>
            <w:rPr>
              <w:rFonts w:hint="eastAsia" w:ascii="黑体" w:hAnsi="黑体" w:eastAsia="黑体" w:cs="黑体"/>
              <w:bCs/>
              <w:szCs w:val="28"/>
            </w:rPr>
            <w:t>9.1 数据安全需求</w:t>
          </w:r>
          <w:r>
            <w:tab/>
          </w:r>
          <w:r>
            <w:fldChar w:fldCharType="begin"/>
          </w:r>
          <w:r>
            <w:instrText xml:space="preserve"> PAGEREF _Toc23845 </w:instrText>
          </w:r>
          <w:r>
            <w:fldChar w:fldCharType="separate"/>
          </w:r>
          <w:r>
            <w:t>53</w:t>
          </w:r>
          <w:r>
            <w:fldChar w:fldCharType="end"/>
          </w:r>
          <w:r>
            <w:fldChar w:fldCharType="end"/>
          </w:r>
        </w:p>
        <w:p>
          <w:pPr>
            <w:pStyle w:val="27"/>
            <w:tabs>
              <w:tab w:val="right" w:leader="dot" w:pos="8845"/>
            </w:tabs>
            <w:ind w:firstLine="400"/>
          </w:pPr>
          <w:r>
            <w:fldChar w:fldCharType="begin"/>
          </w:r>
          <w:r>
            <w:instrText xml:space="preserve"> HYPERLINK \l "_Toc17554" </w:instrText>
          </w:r>
          <w:r>
            <w:fldChar w:fldCharType="separate"/>
          </w:r>
          <w:r>
            <w:rPr>
              <w:rFonts w:hint="eastAsia" w:ascii="黑体" w:hAnsi="黑体" w:eastAsia="黑体" w:cs="黑体"/>
              <w:bCs/>
              <w:szCs w:val="28"/>
            </w:rPr>
            <w:t>9.2 系统性能需求</w:t>
          </w:r>
          <w:r>
            <w:tab/>
          </w:r>
          <w:r>
            <w:fldChar w:fldCharType="begin"/>
          </w:r>
          <w:r>
            <w:instrText xml:space="preserve"> PAGEREF _Toc17554 </w:instrText>
          </w:r>
          <w:r>
            <w:fldChar w:fldCharType="separate"/>
          </w:r>
          <w:r>
            <w:t>54</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"_Toc12969" </w:instrText>
          </w:r>
          <w:r>
            <w:fldChar w:fldCharType="separate"/>
          </w:r>
          <w:r>
            <w:rPr>
              <w:rFonts w:hint="eastAsia" w:ascii="仿宋" w:hAnsi="仿宋" w:eastAsia="仿宋" w:cs="仿宋"/>
              <w:szCs w:val="28"/>
            </w:rPr>
            <w:t>9.2.1 稳定性和可靠性</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_Toc12969 </w:instrText>
          </w:r>
          <w:r>
            <w:rPr>
              <w:rFonts w:hint="eastAsia" w:ascii="仿宋" w:hAnsi="仿宋" w:eastAsia="仿宋" w:cs="仿宋"/>
              <w:szCs w:val="28"/>
            </w:rPr>
            <w:fldChar w:fldCharType="separate"/>
          </w:r>
          <w:r>
            <w:rPr>
              <w:rFonts w:hint="eastAsia" w:ascii="仿宋" w:hAnsi="仿宋" w:eastAsia="仿宋" w:cs="仿宋"/>
              <w:szCs w:val="28"/>
            </w:rPr>
            <w:t>54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"_Toc4092" </w:instrText>
          </w:r>
          <w:r>
            <w:fldChar w:fldCharType="separate"/>
          </w:r>
          <w:r>
            <w:rPr>
              <w:rFonts w:hint="eastAsia" w:ascii="仿宋" w:hAnsi="仿宋" w:eastAsia="仿宋" w:cs="仿宋"/>
              <w:szCs w:val="28"/>
            </w:rPr>
            <w:t>9.2.2 先进性和成熟性</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_Toc4092 </w:instrText>
          </w:r>
          <w:r>
            <w:rPr>
              <w:rFonts w:hint="eastAsia" w:ascii="仿宋" w:hAnsi="仿宋" w:eastAsia="仿宋" w:cs="仿宋"/>
              <w:szCs w:val="28"/>
            </w:rPr>
            <w:fldChar w:fldCharType="separate"/>
          </w:r>
          <w:r>
            <w:rPr>
              <w:rFonts w:hint="eastAsia" w:ascii="仿宋" w:hAnsi="仿宋" w:eastAsia="仿宋" w:cs="仿宋"/>
              <w:szCs w:val="28"/>
            </w:rPr>
            <w:t>54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"_Toc814" </w:instrText>
          </w:r>
          <w:r>
            <w:fldChar w:fldCharType="separate"/>
          </w:r>
          <w:r>
            <w:rPr>
              <w:rFonts w:hint="eastAsia" w:ascii="仿宋" w:hAnsi="仿宋" w:eastAsia="仿宋" w:cs="仿宋"/>
              <w:szCs w:val="28"/>
            </w:rPr>
            <w:t>9.2.3 前瞻性和完整性</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_Toc814 </w:instrText>
          </w:r>
          <w:r>
            <w:rPr>
              <w:rFonts w:hint="eastAsia" w:ascii="仿宋" w:hAnsi="仿宋" w:eastAsia="仿宋" w:cs="仿宋"/>
              <w:szCs w:val="28"/>
            </w:rPr>
            <w:fldChar w:fldCharType="separate"/>
          </w:r>
          <w:r>
            <w:rPr>
              <w:rFonts w:hint="eastAsia" w:ascii="仿宋" w:hAnsi="仿宋" w:eastAsia="仿宋" w:cs="仿宋"/>
              <w:szCs w:val="28"/>
            </w:rPr>
            <w:t>54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"_Toc16973" </w:instrText>
          </w:r>
          <w:r>
            <w:fldChar w:fldCharType="separate"/>
          </w:r>
          <w:r>
            <w:rPr>
              <w:rFonts w:hint="eastAsia" w:ascii="仿宋" w:hAnsi="仿宋" w:eastAsia="仿宋" w:cs="仿宋"/>
              <w:szCs w:val="28"/>
            </w:rPr>
            <w:t>9.2.4 安全性</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_Toc16973 </w:instrText>
          </w:r>
          <w:r>
            <w:rPr>
              <w:rFonts w:hint="eastAsia" w:ascii="仿宋" w:hAnsi="仿宋" w:eastAsia="仿宋" w:cs="仿宋"/>
              <w:szCs w:val="28"/>
            </w:rPr>
            <w:fldChar w:fldCharType="separate"/>
          </w:r>
          <w:r>
            <w:rPr>
              <w:rFonts w:hint="eastAsia" w:ascii="仿宋" w:hAnsi="仿宋" w:eastAsia="仿宋" w:cs="仿宋"/>
              <w:szCs w:val="28"/>
            </w:rPr>
            <w:t>55</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"_Toc19518" </w:instrText>
          </w:r>
          <w:r>
            <w:fldChar w:fldCharType="separate"/>
          </w:r>
          <w:r>
            <w:rPr>
              <w:rFonts w:hint="eastAsia" w:ascii="仿宋" w:hAnsi="仿宋" w:eastAsia="仿宋" w:cs="仿宋"/>
              <w:szCs w:val="28"/>
            </w:rPr>
            <w:t>9.2.5 易用性</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_Toc19518 </w:instrText>
          </w:r>
          <w:r>
            <w:rPr>
              <w:rFonts w:hint="eastAsia" w:ascii="仿宋" w:hAnsi="仿宋" w:eastAsia="仿宋" w:cs="仿宋"/>
              <w:szCs w:val="28"/>
            </w:rPr>
            <w:fldChar w:fldCharType="separate"/>
          </w:r>
          <w:r>
            <w:rPr>
              <w:rFonts w:hint="eastAsia" w:ascii="仿宋" w:hAnsi="仿宋" w:eastAsia="仿宋" w:cs="仿宋"/>
              <w:szCs w:val="28"/>
            </w:rPr>
            <w:t>56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"_Toc25645" </w:instrText>
          </w:r>
          <w:r>
            <w:fldChar w:fldCharType="separate"/>
          </w:r>
          <w:r>
            <w:rPr>
              <w:rFonts w:hint="eastAsia" w:ascii="仿宋" w:hAnsi="仿宋" w:eastAsia="仿宋" w:cs="仿宋"/>
              <w:szCs w:val="28"/>
            </w:rPr>
            <w:t>9.2.6 可管理性</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_Toc25645 </w:instrText>
          </w:r>
          <w:r>
            <w:rPr>
              <w:rFonts w:hint="eastAsia" w:ascii="仿宋" w:hAnsi="仿宋" w:eastAsia="仿宋" w:cs="仿宋"/>
              <w:szCs w:val="28"/>
            </w:rPr>
            <w:fldChar w:fldCharType="separate"/>
          </w:r>
          <w:r>
            <w:rPr>
              <w:rFonts w:hint="eastAsia" w:ascii="仿宋" w:hAnsi="仿宋" w:eastAsia="仿宋" w:cs="仿宋"/>
              <w:szCs w:val="28"/>
            </w:rPr>
            <w:t>56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"_Toc6153" </w:instrText>
          </w:r>
          <w:r>
            <w:fldChar w:fldCharType="separate"/>
          </w:r>
          <w:r>
            <w:rPr>
              <w:rFonts w:hint="eastAsia" w:ascii="仿宋" w:hAnsi="仿宋" w:eastAsia="仿宋" w:cs="仿宋"/>
              <w:szCs w:val="28"/>
            </w:rPr>
            <w:t>9.2.7 可扩展性</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_Toc6153 </w:instrText>
          </w:r>
          <w:r>
            <w:rPr>
              <w:rFonts w:hint="eastAsia" w:ascii="仿宋" w:hAnsi="仿宋" w:eastAsia="仿宋" w:cs="仿宋"/>
              <w:szCs w:val="28"/>
            </w:rPr>
            <w:fldChar w:fldCharType="separate"/>
          </w:r>
          <w:r>
            <w:rPr>
              <w:rFonts w:hint="eastAsia" w:ascii="仿宋" w:hAnsi="仿宋" w:eastAsia="仿宋" w:cs="仿宋"/>
              <w:szCs w:val="28"/>
            </w:rPr>
            <w:t>56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"_Toc1169" </w:instrText>
          </w:r>
          <w:r>
            <w:fldChar w:fldCharType="separate"/>
          </w:r>
          <w:r>
            <w:rPr>
              <w:rFonts w:hint="eastAsia" w:ascii="仿宋" w:hAnsi="仿宋" w:eastAsia="仿宋" w:cs="仿宋"/>
              <w:szCs w:val="28"/>
            </w:rPr>
            <w:t>9.2.8 具体性能指标</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_Toc1169 </w:instrText>
          </w:r>
          <w:r>
            <w:rPr>
              <w:rFonts w:hint="eastAsia" w:ascii="仿宋" w:hAnsi="仿宋" w:eastAsia="仿宋" w:cs="仿宋"/>
              <w:szCs w:val="28"/>
            </w:rPr>
            <w:fldChar w:fldCharType="separate"/>
          </w:r>
          <w:r>
            <w:rPr>
              <w:rFonts w:hint="eastAsia" w:ascii="仿宋" w:hAnsi="仿宋" w:eastAsia="仿宋" w:cs="仿宋"/>
              <w:szCs w:val="28"/>
            </w:rPr>
            <w:t>56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"_Toc7209" </w:instrText>
          </w:r>
          <w:r>
            <w:fldChar w:fldCharType="separate"/>
          </w:r>
          <w:r>
            <w:rPr>
              <w:rFonts w:hint="eastAsia" w:ascii="黑体" w:hAnsi="黑体" w:eastAsia="黑体" w:cs="黑体"/>
              <w:bCs/>
              <w:szCs w:val="28"/>
            </w:rPr>
            <w:t>9.3 硬件方面要求</w:t>
          </w:r>
          <w:r>
            <w:tab/>
          </w:r>
          <w:r>
            <w:fldChar w:fldCharType="begin"/>
          </w:r>
          <w:r>
            <w:instrText xml:space="preserve"> PAGEREF _Toc7209 </w:instrText>
          </w:r>
          <w:r>
            <w:fldChar w:fldCharType="separate"/>
          </w:r>
          <w:r>
            <w:t>56</w:t>
          </w:r>
          <w:r>
            <w:fldChar w:fldCharType="end"/>
          </w:r>
          <w:r>
            <w:fldChar w:fldCharType="end"/>
          </w:r>
        </w:p>
        <w:p>
          <w:pPr>
            <w:pStyle w:val="27"/>
            <w:tabs>
              <w:tab w:val="right" w:leader="dot" w:pos="8845"/>
            </w:tabs>
            <w:ind w:firstLine="400"/>
          </w:pPr>
          <w:r>
            <w:fldChar w:fldCharType="begin"/>
          </w:r>
          <w:r>
            <w:instrText xml:space="preserve"> HYPERLINK \l "_Toc5495" </w:instrText>
          </w:r>
          <w:r>
            <w:fldChar w:fldCharType="separate"/>
          </w:r>
          <w:r>
            <w:rPr>
              <w:rFonts w:hint="eastAsia" w:ascii="黑体" w:hAnsi="黑体" w:eastAsia="黑体" w:cs="黑体"/>
              <w:bCs/>
              <w:szCs w:val="28"/>
            </w:rPr>
            <w:t>9.4 培训要求</w:t>
          </w:r>
          <w:r>
            <w:tab/>
          </w:r>
          <w:r>
            <w:fldChar w:fldCharType="begin"/>
          </w:r>
          <w:r>
            <w:instrText xml:space="preserve"> PAGEREF _Toc5495 </w:instrText>
          </w:r>
          <w:r>
            <w:fldChar w:fldCharType="separate"/>
          </w:r>
          <w:r>
            <w:t>57</w:t>
          </w:r>
          <w:r>
            <w:fldChar w:fldCharType="end"/>
          </w:r>
          <w:r>
            <w:fldChar w:fldCharType="end"/>
          </w:r>
        </w:p>
        <w:p>
          <w:pPr>
            <w:pStyle w:val="27"/>
            <w:tabs>
              <w:tab w:val="right" w:leader="dot" w:pos="8845"/>
            </w:tabs>
            <w:ind w:firstLine="400"/>
          </w:pPr>
          <w:r>
            <w:fldChar w:fldCharType="begin"/>
          </w:r>
          <w:r>
            <w:instrText xml:space="preserve"> HYPERLINK \l "_Toc12672" </w:instrText>
          </w:r>
          <w:r>
            <w:fldChar w:fldCharType="separate"/>
          </w:r>
          <w:r>
            <w:rPr>
              <w:rFonts w:hint="eastAsia" w:ascii="黑体" w:hAnsi="黑体" w:eastAsia="黑体" w:cs="黑体"/>
              <w:bCs/>
              <w:szCs w:val="28"/>
            </w:rPr>
            <w:t>9.5 项目实施要求</w:t>
          </w:r>
          <w:r>
            <w:tab/>
          </w:r>
          <w:r>
            <w:fldChar w:fldCharType="begin"/>
          </w:r>
          <w:r>
            <w:instrText xml:space="preserve"> PAGEREF _Toc12672 </w:instrText>
          </w:r>
          <w:r>
            <w:fldChar w:fldCharType="separate"/>
          </w:r>
          <w:r>
            <w:t>58</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"_Toc11514" </w:instrText>
          </w:r>
          <w:r>
            <w:fldChar w:fldCharType="separate"/>
          </w:r>
          <w:r>
            <w:rPr>
              <w:rFonts w:hint="eastAsia" w:ascii="仿宋" w:hAnsi="仿宋" w:eastAsia="仿宋" w:cs="仿宋"/>
              <w:szCs w:val="28"/>
            </w:rPr>
            <w:t>9.5.1 实施过程要求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_Toc11514 </w:instrText>
          </w:r>
          <w:r>
            <w:rPr>
              <w:rFonts w:hint="eastAsia" w:ascii="仿宋" w:hAnsi="仿宋" w:eastAsia="仿宋" w:cs="仿宋"/>
              <w:szCs w:val="28"/>
            </w:rPr>
            <w:fldChar w:fldCharType="separate"/>
          </w:r>
          <w:r>
            <w:rPr>
              <w:rFonts w:hint="eastAsia" w:ascii="仿宋" w:hAnsi="仿宋" w:eastAsia="仿宋" w:cs="仿宋"/>
              <w:szCs w:val="28"/>
            </w:rPr>
            <w:t>58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"_Toc21881" </w:instrText>
          </w:r>
          <w:r>
            <w:fldChar w:fldCharType="separate"/>
          </w:r>
          <w:r>
            <w:rPr>
              <w:rFonts w:hint="eastAsia" w:ascii="仿宋" w:hAnsi="仿宋" w:eastAsia="仿宋" w:cs="仿宋"/>
              <w:szCs w:val="28"/>
            </w:rPr>
            <w:t>9.5.2 成果交付要求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_Toc21881 </w:instrText>
          </w:r>
          <w:r>
            <w:rPr>
              <w:rFonts w:hint="eastAsia" w:ascii="仿宋" w:hAnsi="仿宋" w:eastAsia="仿宋" w:cs="仿宋"/>
              <w:szCs w:val="28"/>
            </w:rPr>
            <w:fldChar w:fldCharType="separate"/>
          </w:r>
          <w:r>
            <w:rPr>
              <w:rFonts w:hint="eastAsia" w:ascii="仿宋" w:hAnsi="仿宋" w:eastAsia="仿宋" w:cs="仿宋"/>
              <w:szCs w:val="28"/>
            </w:rPr>
            <w:t>59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"_Toc11815" </w:instrText>
          </w:r>
          <w:r>
            <w:fldChar w:fldCharType="separate"/>
          </w:r>
          <w:r>
            <w:rPr>
              <w:rFonts w:hint="eastAsia" w:ascii="仿宋" w:hAnsi="仿宋" w:eastAsia="仿宋" w:cs="仿宋"/>
              <w:szCs w:val="28"/>
            </w:rPr>
            <w:t>9.5.3 人员培训要求</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_Toc11815 </w:instrText>
          </w:r>
          <w:r>
            <w:rPr>
              <w:rFonts w:hint="eastAsia" w:ascii="仿宋" w:hAnsi="仿宋" w:eastAsia="仿宋" w:cs="仿宋"/>
              <w:szCs w:val="28"/>
            </w:rPr>
            <w:fldChar w:fldCharType="separate"/>
          </w:r>
          <w:r>
            <w:rPr>
              <w:rFonts w:hint="eastAsia" w:ascii="仿宋" w:hAnsi="仿宋" w:eastAsia="仿宋" w:cs="仿宋"/>
              <w:szCs w:val="28"/>
            </w:rPr>
            <w:t>59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"_Toc1227" </w:instrText>
          </w:r>
          <w:r>
            <w:fldChar w:fldCharType="separate"/>
          </w:r>
          <w:r>
            <w:rPr>
              <w:rFonts w:hint="eastAsia" w:ascii="仿宋" w:hAnsi="仿宋" w:eastAsia="仿宋" w:cs="仿宋"/>
              <w:szCs w:val="28"/>
            </w:rPr>
            <w:t>9.5.4 质量保证期</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_Toc1227 </w:instrText>
          </w:r>
          <w:r>
            <w:rPr>
              <w:rFonts w:hint="eastAsia" w:ascii="仿宋" w:hAnsi="仿宋" w:eastAsia="仿宋" w:cs="仿宋"/>
              <w:szCs w:val="28"/>
            </w:rPr>
            <w:fldChar w:fldCharType="separate"/>
          </w:r>
          <w:r>
            <w:rPr>
              <w:rFonts w:hint="eastAsia" w:ascii="仿宋" w:hAnsi="仿宋" w:eastAsia="仿宋" w:cs="仿宋"/>
              <w:szCs w:val="28"/>
            </w:rPr>
            <w:t>60</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"_Toc6474" </w:instrText>
          </w:r>
          <w:r>
            <w:fldChar w:fldCharType="separate"/>
          </w:r>
          <w:r>
            <w:rPr>
              <w:rFonts w:hint="eastAsia" w:ascii="仿宋" w:hAnsi="仿宋" w:eastAsia="仿宋" w:cs="仿宋"/>
              <w:szCs w:val="28"/>
            </w:rPr>
            <w:t>9.5.5 售后服务</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_Toc6474 </w:instrText>
          </w:r>
          <w:r>
            <w:rPr>
              <w:rFonts w:hint="eastAsia" w:ascii="仿宋" w:hAnsi="仿宋" w:eastAsia="仿宋" w:cs="仿宋"/>
              <w:szCs w:val="28"/>
            </w:rPr>
            <w:fldChar w:fldCharType="separate"/>
          </w:r>
          <w:r>
            <w:rPr>
              <w:rFonts w:hint="eastAsia" w:ascii="仿宋" w:hAnsi="仿宋" w:eastAsia="仿宋" w:cs="仿宋"/>
              <w:szCs w:val="28"/>
            </w:rPr>
            <w:t>60</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"_Toc9016"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第十部分 </w:t>
          </w:r>
          <w:r>
            <w:rPr>
              <w:rFonts w:hint="eastAsia" w:ascii="黑体" w:hAnsi="黑体" w:eastAsia="黑体" w:cs="黑体"/>
              <w:bCs w:val="0"/>
              <w:kern w:val="0"/>
              <w:szCs w:val="32"/>
            </w:rPr>
            <w:t>评分标准</w:t>
          </w:r>
          <w:r>
            <w:tab/>
          </w:r>
          <w:r>
            <w:fldChar w:fldCharType="begin"/>
          </w:r>
          <w:r>
            <w:instrText xml:space="preserve"> PAGEREF _Toc9016 </w:instrText>
          </w:r>
          <w:r>
            <w:fldChar w:fldCharType="separate"/>
          </w:r>
          <w:r>
            <w:t>62</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"_Toc15646" </w:instrText>
          </w:r>
          <w:r>
            <w:fldChar w:fldCharType="separate"/>
          </w:r>
          <w:r>
            <w:rPr>
              <w:rFonts w:hint="eastAsia" w:ascii="仿宋" w:hAnsi="仿宋" w:eastAsia="仿宋" w:cs="仿宋"/>
              <w:szCs w:val="28"/>
            </w:rPr>
            <w:t>10.1 中标原则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_Toc15646 </w:instrText>
          </w:r>
          <w:r>
            <w:rPr>
              <w:rFonts w:hint="eastAsia" w:ascii="仿宋" w:hAnsi="仿宋" w:eastAsia="仿宋" w:cs="仿宋"/>
              <w:szCs w:val="28"/>
            </w:rPr>
            <w:fldChar w:fldCharType="separate"/>
          </w:r>
          <w:r>
            <w:rPr>
              <w:rFonts w:hint="eastAsia" w:ascii="仿宋" w:hAnsi="仿宋" w:eastAsia="仿宋" w:cs="仿宋"/>
              <w:szCs w:val="28"/>
            </w:rPr>
            <w:t>62</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"_Toc24203" </w:instrText>
          </w:r>
          <w:r>
            <w:fldChar w:fldCharType="separate"/>
          </w:r>
          <w:r>
            <w:rPr>
              <w:rFonts w:hint="eastAsia" w:ascii="仿宋" w:hAnsi="仿宋" w:eastAsia="仿宋" w:cs="仿宋"/>
              <w:szCs w:val="28"/>
            </w:rPr>
            <w:t>10.2 评标权重</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_Toc24203 </w:instrText>
          </w:r>
          <w:r>
            <w:rPr>
              <w:rFonts w:hint="eastAsia" w:ascii="仿宋" w:hAnsi="仿宋" w:eastAsia="仿宋" w:cs="仿宋"/>
              <w:szCs w:val="28"/>
            </w:rPr>
            <w:fldChar w:fldCharType="separate"/>
          </w:r>
          <w:r>
            <w:rPr>
              <w:rFonts w:hint="eastAsia" w:ascii="仿宋" w:hAnsi="仿宋" w:eastAsia="仿宋" w:cs="仿宋"/>
              <w:szCs w:val="28"/>
            </w:rPr>
            <w:t>62</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"_Toc10836" </w:instrText>
          </w:r>
          <w:r>
            <w:fldChar w:fldCharType="separate"/>
          </w:r>
          <w:r>
            <w:rPr>
              <w:rFonts w:hint="eastAsia" w:ascii="仿宋" w:hAnsi="仿宋" w:eastAsia="仿宋" w:cs="仿宋"/>
              <w:szCs w:val="28"/>
            </w:rPr>
            <w:t>10.3 评分细则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_Toc10836 </w:instrText>
          </w:r>
          <w:r>
            <w:rPr>
              <w:rFonts w:hint="eastAsia" w:ascii="仿宋" w:hAnsi="仿宋" w:eastAsia="仿宋" w:cs="仿宋"/>
              <w:szCs w:val="28"/>
            </w:rPr>
            <w:fldChar w:fldCharType="separate"/>
          </w:r>
          <w:r>
            <w:rPr>
              <w:rFonts w:hint="eastAsia" w:ascii="仿宋" w:hAnsi="仿宋" w:eastAsia="仿宋" w:cs="仿宋"/>
              <w:szCs w:val="28"/>
            </w:rPr>
            <w:t>63</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"_Toc32383" </w:instrText>
          </w:r>
          <w:r>
            <w:fldChar w:fldCharType="separate"/>
          </w:r>
          <w:r>
            <w:rPr>
              <w:rFonts w:hint="eastAsia" w:ascii="方正小标宋简体" w:hAnsi="方正小标宋简体" w:eastAsia="方正小标宋简体" w:cs="方正小标宋简体"/>
              <w:caps w:val="0"/>
              <w:kern w:val="0"/>
              <w:szCs w:val="44"/>
              <w14:scene3d>
                <w14:lightRig w14:rig="threePt" w14:dir="t">
                  <w14:rot w14:lat="0" w14:lon="0" w14:rev="0"/>
                </w14:lightRig>
              </w14:scene3d>
            </w:rPr>
            <w:t xml:space="preserve">第十一部分 </w:t>
          </w:r>
          <w:r>
            <w:rPr>
              <w:rFonts w:hint="eastAsia" w:ascii="黑体" w:hAnsi="黑体" w:eastAsia="黑体" w:cs="黑体"/>
              <w:bCs w:val="0"/>
              <w:kern w:val="0"/>
              <w:szCs w:val="32"/>
            </w:rPr>
            <w:t>投标文件格式</w:t>
          </w:r>
          <w:r>
            <w:tab/>
          </w:r>
          <w:r>
            <w:fldChar w:fldCharType="begin"/>
          </w:r>
          <w:r>
            <w:instrText xml:space="preserve"> PAGEREF _Toc32383 </w:instrText>
          </w:r>
          <w:r>
            <w:fldChar w:fldCharType="separate"/>
          </w:r>
          <w:r>
            <w:t>67</w:t>
          </w:r>
          <w:r>
            <w:fldChar w:fldCharType="end"/>
          </w:r>
          <w: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"_Toc17501" </w:instrText>
          </w:r>
          <w:r>
            <w:fldChar w:fldCharType="separate"/>
          </w:r>
          <w:r>
            <w:rPr>
              <w:rFonts w:hint="eastAsia" w:ascii="仿宋" w:hAnsi="仿宋" w:eastAsia="仿宋" w:cs="仿宋"/>
              <w:szCs w:val="28"/>
            </w:rPr>
            <w:t>格式一：投标一览表</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_Toc17501 </w:instrText>
          </w:r>
          <w:r>
            <w:rPr>
              <w:rFonts w:hint="eastAsia" w:ascii="仿宋" w:hAnsi="仿宋" w:eastAsia="仿宋" w:cs="仿宋"/>
              <w:szCs w:val="28"/>
            </w:rPr>
            <w:fldChar w:fldCharType="separate"/>
          </w:r>
          <w:r>
            <w:rPr>
              <w:rFonts w:hint="eastAsia" w:ascii="仿宋" w:hAnsi="仿宋" w:eastAsia="仿宋" w:cs="仿宋"/>
              <w:szCs w:val="28"/>
            </w:rPr>
            <w:t>69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"_Toc12500" </w:instrText>
          </w:r>
          <w:r>
            <w:fldChar w:fldCharType="separate"/>
          </w:r>
          <w:r>
            <w:rPr>
              <w:rFonts w:hint="eastAsia" w:ascii="仿宋" w:hAnsi="仿宋" w:eastAsia="仿宋" w:cs="仿宋"/>
              <w:szCs w:val="28"/>
            </w:rPr>
            <w:t>格式二：投标商务报价明细表</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_Toc12500 </w:instrText>
          </w:r>
          <w:r>
            <w:rPr>
              <w:rFonts w:hint="eastAsia" w:ascii="仿宋" w:hAnsi="仿宋" w:eastAsia="仿宋" w:cs="仿宋"/>
              <w:szCs w:val="28"/>
            </w:rPr>
            <w:fldChar w:fldCharType="separate"/>
          </w:r>
          <w:r>
            <w:rPr>
              <w:rFonts w:hint="eastAsia" w:ascii="仿宋" w:hAnsi="仿宋" w:eastAsia="仿宋" w:cs="仿宋"/>
              <w:szCs w:val="28"/>
            </w:rPr>
            <w:t>70</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"_Toc25004" </w:instrText>
          </w:r>
          <w:r>
            <w:fldChar w:fldCharType="separate"/>
          </w:r>
          <w:r>
            <w:rPr>
              <w:rFonts w:hint="eastAsia" w:ascii="仿宋" w:hAnsi="仿宋" w:eastAsia="仿宋" w:cs="仿宋"/>
              <w:szCs w:val="28"/>
            </w:rPr>
            <w:t>格式三：法定代表人资格证明书</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_Toc25004 </w:instrText>
          </w:r>
          <w:r>
            <w:rPr>
              <w:rFonts w:hint="eastAsia" w:ascii="仿宋" w:hAnsi="仿宋" w:eastAsia="仿宋" w:cs="仿宋"/>
              <w:szCs w:val="28"/>
            </w:rPr>
            <w:fldChar w:fldCharType="separate"/>
          </w:r>
          <w:r>
            <w:rPr>
              <w:rFonts w:hint="eastAsia" w:ascii="仿宋" w:hAnsi="仿宋" w:eastAsia="仿宋" w:cs="仿宋"/>
              <w:szCs w:val="28"/>
            </w:rPr>
            <w:t>72</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"_Toc6944" </w:instrText>
          </w:r>
          <w:r>
            <w:fldChar w:fldCharType="separate"/>
          </w:r>
          <w:r>
            <w:rPr>
              <w:rFonts w:ascii="仿宋" w:hAnsi="仿宋" w:eastAsia="仿宋" w:cs="仿宋"/>
              <w:szCs w:val="28"/>
            </w:rPr>
            <w:t>格式四：法定代表人授权委托书</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_Toc6944 </w:instrText>
          </w:r>
          <w:r>
            <w:rPr>
              <w:rFonts w:hint="eastAsia" w:ascii="仿宋" w:hAnsi="仿宋" w:eastAsia="仿宋" w:cs="仿宋"/>
              <w:szCs w:val="28"/>
            </w:rPr>
            <w:fldChar w:fldCharType="separate"/>
          </w:r>
          <w:r>
            <w:rPr>
              <w:rFonts w:hint="eastAsia" w:ascii="仿宋" w:hAnsi="仿宋" w:eastAsia="仿宋" w:cs="仿宋"/>
              <w:szCs w:val="28"/>
            </w:rPr>
            <w:t>73</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"_Toc16062" </w:instrText>
          </w:r>
          <w:r>
            <w:fldChar w:fldCharType="separate"/>
          </w:r>
          <w:r>
            <w:rPr>
              <w:rFonts w:ascii="仿宋" w:hAnsi="仿宋" w:eastAsia="仿宋" w:cs="仿宋"/>
              <w:szCs w:val="28"/>
            </w:rPr>
            <w:t>格式五：投标单位的资质证明材料</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_Toc16062 </w:instrText>
          </w:r>
          <w:r>
            <w:rPr>
              <w:rFonts w:hint="eastAsia" w:ascii="仿宋" w:hAnsi="仿宋" w:eastAsia="仿宋" w:cs="仿宋"/>
              <w:szCs w:val="28"/>
            </w:rPr>
            <w:fldChar w:fldCharType="separate"/>
          </w:r>
          <w:r>
            <w:rPr>
              <w:rFonts w:hint="eastAsia" w:ascii="仿宋" w:hAnsi="仿宋" w:eastAsia="仿宋" w:cs="仿宋"/>
              <w:szCs w:val="28"/>
            </w:rPr>
            <w:t>74</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"_Toc2081" </w:instrText>
          </w:r>
          <w:r>
            <w:fldChar w:fldCharType="separate"/>
          </w:r>
          <w:r>
            <w:rPr>
              <w:rFonts w:ascii="仿宋" w:hAnsi="仿宋" w:eastAsia="仿宋" w:cs="仿宋"/>
              <w:szCs w:val="28"/>
            </w:rPr>
            <w:t>格式六：</w:t>
          </w:r>
          <w:r>
            <w:rPr>
              <w:rFonts w:hint="eastAsia" w:ascii="仿宋" w:hAnsi="仿宋" w:eastAsia="仿宋" w:cs="仿宋"/>
              <w:szCs w:val="28"/>
            </w:rPr>
            <w:t>商务偏离表</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_Toc2081 </w:instrText>
          </w:r>
          <w:r>
            <w:rPr>
              <w:rFonts w:hint="eastAsia" w:ascii="仿宋" w:hAnsi="仿宋" w:eastAsia="仿宋" w:cs="仿宋"/>
              <w:szCs w:val="28"/>
            </w:rPr>
            <w:fldChar w:fldCharType="separate"/>
          </w:r>
          <w:r>
            <w:rPr>
              <w:rFonts w:hint="eastAsia" w:ascii="仿宋" w:hAnsi="仿宋" w:eastAsia="仿宋" w:cs="仿宋"/>
              <w:szCs w:val="28"/>
            </w:rPr>
            <w:t>75</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"_Toc25262" </w:instrText>
          </w:r>
          <w:r>
            <w:fldChar w:fldCharType="separate"/>
          </w:r>
          <w:r>
            <w:rPr>
              <w:rFonts w:ascii="仿宋" w:hAnsi="仿宋" w:eastAsia="仿宋" w:cs="仿宋"/>
              <w:szCs w:val="28"/>
            </w:rPr>
            <w:t>格式七：廉洁诚信承诺书</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_Toc25262 </w:instrText>
          </w:r>
          <w:r>
            <w:rPr>
              <w:rFonts w:hint="eastAsia" w:ascii="仿宋" w:hAnsi="仿宋" w:eastAsia="仿宋" w:cs="仿宋"/>
              <w:szCs w:val="28"/>
            </w:rPr>
            <w:fldChar w:fldCharType="separate"/>
          </w:r>
          <w:r>
            <w:rPr>
              <w:rFonts w:hint="eastAsia" w:ascii="仿宋" w:hAnsi="仿宋" w:eastAsia="仿宋" w:cs="仿宋"/>
              <w:szCs w:val="28"/>
            </w:rPr>
            <w:t>76</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rPr>
              <w:rFonts w:ascii="仿宋" w:hAnsi="仿宋" w:eastAsia="仿宋" w:cs="仿宋"/>
              <w:szCs w:val="28"/>
            </w:rPr>
          </w:pPr>
          <w:r>
            <w:fldChar w:fldCharType="begin"/>
          </w:r>
          <w:r>
            <w:instrText xml:space="preserve"> HYPERLINK \l "_Toc29847" </w:instrText>
          </w:r>
          <w:r>
            <w:fldChar w:fldCharType="separate"/>
          </w:r>
          <w:r>
            <w:rPr>
              <w:rFonts w:ascii="仿宋" w:hAnsi="仿宋" w:eastAsia="仿宋" w:cs="仿宋"/>
              <w:szCs w:val="28"/>
            </w:rPr>
            <w:t>格式八：售后服务承诺函</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_Toc29847 </w:instrText>
          </w:r>
          <w:r>
            <w:rPr>
              <w:rFonts w:hint="eastAsia" w:ascii="仿宋" w:hAnsi="仿宋" w:eastAsia="仿宋" w:cs="仿宋"/>
              <w:szCs w:val="28"/>
            </w:rPr>
            <w:fldChar w:fldCharType="separate"/>
          </w:r>
          <w:r>
            <w:rPr>
              <w:rFonts w:hint="eastAsia" w:ascii="仿宋" w:hAnsi="仿宋" w:eastAsia="仿宋" w:cs="仿宋"/>
              <w:szCs w:val="28"/>
            </w:rPr>
            <w:t>78</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7"/>
            <w:tabs>
              <w:tab w:val="right" w:leader="dot" w:pos="8845"/>
            </w:tabs>
            <w:ind w:firstLine="400"/>
          </w:pPr>
          <w:r>
            <w:fldChar w:fldCharType="begin"/>
          </w:r>
          <w:r>
            <w:instrText xml:space="preserve"> HYPERLINK \l "_Toc18720" </w:instrText>
          </w:r>
          <w:r>
            <w:fldChar w:fldCharType="separate"/>
          </w:r>
          <w:r>
            <w:rPr>
              <w:rFonts w:ascii="仿宋" w:hAnsi="仿宋" w:eastAsia="仿宋" w:cs="仿宋"/>
              <w:szCs w:val="28"/>
            </w:rPr>
            <w:t>格式九：技术</w:t>
          </w:r>
          <w:r>
            <w:rPr>
              <w:rFonts w:hint="eastAsia" w:ascii="仿宋" w:hAnsi="仿宋" w:eastAsia="仿宋" w:cs="仿宋"/>
              <w:szCs w:val="28"/>
            </w:rPr>
            <w:t>规格偏差表</w:t>
          </w:r>
          <w:r>
            <w:rPr>
              <w:rFonts w:hint="eastAsia" w:ascii="仿宋" w:hAnsi="仿宋" w:eastAsia="仿宋" w:cs="仿宋"/>
              <w:szCs w:val="28"/>
            </w:rPr>
            <w:tab/>
          </w:r>
          <w:r>
            <w:rPr>
              <w:rFonts w:hint="eastAsia" w:ascii="仿宋" w:hAnsi="仿宋" w:eastAsia="仿宋" w:cs="仿宋"/>
              <w:szCs w:val="28"/>
            </w:rPr>
            <w:fldChar w:fldCharType="begin"/>
          </w:r>
          <w:r>
            <w:rPr>
              <w:rFonts w:hint="eastAsia" w:ascii="仿宋" w:hAnsi="仿宋" w:eastAsia="仿宋" w:cs="仿宋"/>
              <w:szCs w:val="28"/>
            </w:rPr>
            <w:instrText xml:space="preserve"> PAGEREF _Toc18720 </w:instrText>
          </w:r>
          <w:r>
            <w:rPr>
              <w:rFonts w:hint="eastAsia" w:ascii="仿宋" w:hAnsi="仿宋" w:eastAsia="仿宋" w:cs="仿宋"/>
              <w:szCs w:val="28"/>
            </w:rPr>
            <w:fldChar w:fldCharType="separate"/>
          </w:r>
          <w:r>
            <w:rPr>
              <w:rFonts w:hint="eastAsia" w:ascii="仿宋" w:hAnsi="仿宋" w:eastAsia="仿宋" w:cs="仿宋"/>
              <w:szCs w:val="28"/>
            </w:rPr>
            <w:t>79</w:t>
          </w:r>
          <w:r>
            <w:rPr>
              <w:rFonts w:hint="eastAsia" w:ascii="仿宋" w:hAnsi="仿宋" w:eastAsia="仿宋" w:cs="仿宋"/>
              <w:szCs w:val="28"/>
            </w:rPr>
            <w:fldChar w:fldCharType="end"/>
          </w:r>
          <w:r>
            <w:rPr>
              <w:rFonts w:hint="eastAsia" w:ascii="仿宋" w:hAnsi="仿宋" w:eastAsia="仿宋" w:cs="仿宋"/>
              <w:szCs w:val="28"/>
            </w:rPr>
            <w:fldChar w:fldCharType="end"/>
          </w:r>
        </w:p>
        <w:p>
          <w:pPr>
            <w:pStyle w:val="23"/>
            <w:tabs>
              <w:tab w:val="right" w:leader="dot" w:pos="8845"/>
            </w:tabs>
            <w:ind w:firstLine="402"/>
          </w:pPr>
          <w:r>
            <w:fldChar w:fldCharType="begin"/>
          </w:r>
          <w:r>
            <w:instrText xml:space="preserve"> HYPERLINK \l "_Toc8172" </w:instrText>
          </w:r>
          <w:r>
            <w:fldChar w:fldCharType="separate"/>
          </w:r>
          <w:r>
            <w:rPr>
              <w:rFonts w:hint="eastAsia" w:ascii="方正小标宋简体" w:hAnsi="方正小标宋简体" w:eastAsia="方正小标宋简体" w:cs="方正小标宋简体"/>
              <w:caps w:val="0"/>
              <w:szCs w:val="44"/>
              <w14:scene3d>
                <w14:lightRig w14:rig="threePt" w14:dir="t">
                  <w14:rot w14:lat="0" w14:lon="0" w14:rev="0"/>
                </w14:lightRig>
              </w14:scene3d>
            </w:rPr>
            <w:t xml:space="preserve">第十二部分 </w:t>
          </w:r>
          <w:r>
            <w:rPr>
              <w:rFonts w:hint="eastAsia"/>
            </w:rPr>
            <w:t>采购合同</w:t>
          </w:r>
          <w:r>
            <w:tab/>
          </w:r>
          <w:r>
            <w:fldChar w:fldCharType="begin"/>
          </w:r>
          <w:r>
            <w:instrText xml:space="preserve"> PAGEREF _Toc8172 </w:instrText>
          </w:r>
          <w:r>
            <w:fldChar w:fldCharType="separate"/>
          </w:r>
          <w:r>
            <w:t>80</w:t>
          </w:r>
          <w:r>
            <w:fldChar w:fldCharType="end"/>
          </w:r>
          <w:r>
            <w:fldChar w:fldCharType="end"/>
          </w:r>
        </w:p>
        <w:p>
          <w:pPr>
            <w:ind w:firstLine="480"/>
            <w:rPr>
              <w:rFonts w:ascii="仿宋" w:hAnsi="仿宋" w:eastAsia="仿宋" w:cs="仿宋"/>
              <w:sz w:val="28"/>
              <w:szCs w:val="28"/>
            </w:rPr>
          </w:pPr>
          <w:r>
            <w:rPr>
              <w:rFonts w:hint="eastAsia" w:ascii="仿宋" w:hAnsi="仿宋" w:eastAsia="仿宋" w:cs="仿宋"/>
              <w:szCs w:val="28"/>
            </w:rPr>
            <w:fldChar w:fldCharType="end"/>
          </w:r>
        </w:p>
      </w:sdtContent>
    </w:sdt>
    <w:p>
      <w:pPr>
        <w:ind w:firstLine="560"/>
        <w:rPr>
          <w:rFonts w:ascii="仿宋" w:hAnsi="仿宋" w:eastAsia="仿宋" w:cs="仿宋"/>
          <w:sz w:val="28"/>
          <w:szCs w:val="28"/>
        </w:rPr>
      </w:pPr>
    </w:p>
    <w:p>
      <w:pPr>
        <w:ind w:firstLine="560"/>
        <w:rPr>
          <w:rFonts w:ascii="仿宋" w:hAnsi="仿宋" w:eastAsia="仿宋" w:cs="仿宋"/>
          <w:sz w:val="28"/>
          <w:szCs w:val="28"/>
        </w:rPr>
      </w:pPr>
    </w:p>
    <w:p>
      <w:pPr>
        <w:ind w:firstLine="560"/>
        <w:rPr>
          <w:rFonts w:ascii="仿宋" w:hAnsi="仿宋" w:eastAsia="仿宋" w:cs="仿宋"/>
          <w:sz w:val="28"/>
          <w:szCs w:val="28"/>
        </w:rPr>
      </w:pPr>
    </w:p>
    <w:p>
      <w:pPr>
        <w:ind w:firstLine="560"/>
        <w:rPr>
          <w:rFonts w:ascii="仿宋" w:hAnsi="仿宋" w:eastAsia="仿宋" w:cs="仿宋"/>
          <w:sz w:val="28"/>
          <w:szCs w:val="28"/>
        </w:rPr>
      </w:pPr>
    </w:p>
    <w:p>
      <w:pPr>
        <w:pStyle w:val="2"/>
        <w:keepNext w:val="0"/>
        <w:keepLines w:val="0"/>
        <w:spacing w:before="190" w:beforeLines="50" w:beforeAutospacing="0" w:after="381" w:afterLines="100" w:afterAutospacing="0" w:line="580" w:lineRule="exact"/>
        <w:contextualSpacing w:val="0"/>
        <w:rPr>
          <w:rFonts w:hint="eastAsia" w:ascii="方正小标宋简体" w:eastAsia="方正小标宋简体" w:cs="黑体"/>
          <w:b w:val="0"/>
          <w:bCs w:val="0"/>
          <w:kern w:val="0"/>
          <w:sz w:val="44"/>
          <w:szCs w:val="44"/>
        </w:rPr>
      </w:pPr>
      <w:bookmarkStart w:id="0" w:name="_Toc10611"/>
      <w:r>
        <w:rPr>
          <w:rFonts w:hint="eastAsia" w:ascii="方正小标宋简体" w:eastAsia="方正小标宋简体" w:cs="黑体"/>
          <w:b w:val="0"/>
          <w:bCs w:val="0"/>
          <w:kern w:val="0"/>
          <w:sz w:val="44"/>
          <w:szCs w:val="44"/>
        </w:rPr>
        <w:t>招标公告</w:t>
      </w:r>
      <w:bookmarkEnd w:id="0"/>
    </w:p>
    <w:p>
      <w:pPr>
        <w:spacing w:line="500" w:lineRule="exact"/>
        <w:ind w:firstLine="480"/>
        <w:rPr>
          <w:rFonts w:ascii="仿宋" w:hAnsi="仿宋" w:eastAsia="仿宋" w:cs="仿宋"/>
          <w:szCs w:val="24"/>
        </w:rPr>
      </w:pPr>
      <w:r>
        <w:rPr>
          <w:rFonts w:hint="eastAsia" w:ascii="仿宋" w:hAnsi="仿宋" w:eastAsia="仿宋" w:cs="仿宋"/>
          <w:szCs w:val="24"/>
        </w:rPr>
        <w:t>厦门开元数字科技有限公司拟采用自主公开采购方式对思明控股统一协同办公系统进行采购，欢迎符合资格、专业的公司参加投标。</w:t>
      </w:r>
    </w:p>
    <w:p>
      <w:pPr>
        <w:spacing w:line="500" w:lineRule="exact"/>
        <w:ind w:firstLine="480"/>
        <w:rPr>
          <w:rFonts w:ascii="仿宋" w:hAnsi="仿宋" w:eastAsia="仿宋" w:cs="仿宋"/>
          <w:szCs w:val="24"/>
        </w:rPr>
      </w:pPr>
      <w:r>
        <w:rPr>
          <w:rFonts w:hint="eastAsia" w:ascii="仿宋" w:hAnsi="仿宋" w:eastAsia="仿宋" w:cs="仿宋"/>
          <w:szCs w:val="24"/>
        </w:rPr>
        <w:t>1、合格的供应商条件：</w:t>
      </w:r>
    </w:p>
    <w:p>
      <w:pPr>
        <w:spacing w:line="500" w:lineRule="exact"/>
        <w:ind w:firstLine="480"/>
        <w:rPr>
          <w:rFonts w:ascii="仿宋" w:hAnsi="仿宋" w:eastAsia="仿宋" w:cs="仿宋"/>
          <w:szCs w:val="24"/>
        </w:rPr>
      </w:pPr>
      <w:r>
        <w:rPr>
          <w:rFonts w:hint="eastAsia" w:ascii="仿宋" w:hAnsi="仿宋" w:eastAsia="仿宋" w:cs="仿宋"/>
          <w:szCs w:val="24"/>
        </w:rPr>
        <w:t>（1）投标人必须是具有独立法人资格的公司；</w:t>
      </w:r>
    </w:p>
    <w:p>
      <w:pPr>
        <w:spacing w:line="500" w:lineRule="exact"/>
        <w:ind w:firstLine="480"/>
        <w:rPr>
          <w:rFonts w:ascii="仿宋" w:hAnsi="仿宋" w:eastAsia="仿宋" w:cs="仿宋"/>
          <w:szCs w:val="24"/>
        </w:rPr>
      </w:pPr>
      <w:r>
        <w:rPr>
          <w:rFonts w:hint="eastAsia" w:ascii="仿宋" w:hAnsi="仿宋" w:eastAsia="仿宋" w:cs="仿宋"/>
          <w:szCs w:val="24"/>
        </w:rPr>
        <w:t>（2） 投标方需具备稳定的团队结构和足够资质的技术队伍，本地人力配置充足、行业资源丰富，具有同行业特别是行业办公软件开发的成熟案例和经验；</w:t>
      </w:r>
    </w:p>
    <w:p>
      <w:pPr>
        <w:spacing w:line="500" w:lineRule="exact"/>
        <w:ind w:firstLine="480"/>
        <w:rPr>
          <w:rFonts w:ascii="仿宋" w:hAnsi="仿宋" w:eastAsia="仿宋" w:cs="仿宋"/>
          <w:szCs w:val="24"/>
        </w:rPr>
      </w:pPr>
      <w:r>
        <w:rPr>
          <w:rFonts w:hint="eastAsia" w:ascii="仿宋" w:hAnsi="仿宋" w:eastAsia="仿宋" w:cs="仿宋"/>
          <w:szCs w:val="24"/>
        </w:rPr>
        <w:t>（3）必须具备在厦门提供本地化实施开发项目和提供后续服务的能力。需具有足够能力保证按照招标方提出的要求按时、按质按期完成软件系统的安装调试、培训和提供过硬的售后服务支持体系；</w:t>
      </w:r>
    </w:p>
    <w:p>
      <w:pPr>
        <w:spacing w:line="500" w:lineRule="exact"/>
        <w:ind w:firstLine="480"/>
        <w:rPr>
          <w:rFonts w:ascii="仿宋" w:hAnsi="仿宋" w:eastAsia="仿宋" w:cs="仿宋"/>
          <w:szCs w:val="24"/>
        </w:rPr>
      </w:pPr>
      <w:r>
        <w:rPr>
          <w:rFonts w:hint="eastAsia" w:ascii="仿宋" w:hAnsi="仿宋" w:eastAsia="仿宋" w:cs="仿宋"/>
          <w:szCs w:val="24"/>
        </w:rPr>
        <w:t>（4）本项目不接受任何形式的分包和外包。</w:t>
      </w:r>
    </w:p>
    <w:p>
      <w:pPr>
        <w:spacing w:line="500" w:lineRule="exact"/>
        <w:ind w:firstLine="480"/>
        <w:rPr>
          <w:rFonts w:ascii="仿宋" w:hAnsi="仿宋" w:eastAsia="仿宋" w:cs="仿宋"/>
          <w:szCs w:val="24"/>
        </w:rPr>
      </w:pPr>
      <w:r>
        <w:rPr>
          <w:rFonts w:hint="eastAsia" w:ascii="仿宋" w:hAnsi="仿宋" w:eastAsia="仿宋" w:cs="仿宋"/>
          <w:szCs w:val="24"/>
        </w:rPr>
        <w:t>2、项目概况：</w:t>
      </w:r>
    </w:p>
    <w:p>
      <w:pPr>
        <w:spacing w:line="500" w:lineRule="exact"/>
        <w:ind w:firstLine="480"/>
        <w:rPr>
          <w:rFonts w:ascii="仿宋" w:hAnsi="仿宋" w:eastAsia="仿宋" w:cs="仿宋"/>
          <w:szCs w:val="24"/>
        </w:rPr>
      </w:pPr>
      <w:r>
        <w:rPr>
          <w:rFonts w:hint="eastAsia" w:ascii="仿宋" w:hAnsi="仿宋" w:eastAsia="仿宋" w:cs="仿宋"/>
          <w:szCs w:val="24"/>
        </w:rPr>
        <w:t>（1）招标项目：思明控股统一协同办公系统</w:t>
      </w:r>
    </w:p>
    <w:p>
      <w:pPr>
        <w:spacing w:line="500" w:lineRule="exact"/>
        <w:ind w:firstLine="480"/>
        <w:rPr>
          <w:rFonts w:ascii="仿宋" w:hAnsi="仿宋" w:eastAsia="仿宋" w:cs="仿宋"/>
          <w:szCs w:val="24"/>
        </w:rPr>
      </w:pPr>
      <w:r>
        <w:rPr>
          <w:rFonts w:hint="eastAsia" w:ascii="仿宋" w:hAnsi="仿宋" w:eastAsia="仿宋" w:cs="仿宋"/>
          <w:szCs w:val="24"/>
        </w:rPr>
        <w:t>3、投标文件递交截止时间及地点：</w:t>
      </w:r>
    </w:p>
    <w:p>
      <w:pPr>
        <w:spacing w:line="500" w:lineRule="exact"/>
        <w:ind w:firstLine="480"/>
        <w:rPr>
          <w:rFonts w:ascii="仿宋" w:hAnsi="仿宋" w:eastAsia="仿宋" w:cs="仿宋"/>
          <w:szCs w:val="24"/>
        </w:rPr>
      </w:pPr>
      <w:r>
        <w:rPr>
          <w:rFonts w:hint="eastAsia" w:ascii="仿宋" w:hAnsi="仿宋" w:eastAsia="仿宋" w:cs="仿宋"/>
          <w:szCs w:val="24"/>
        </w:rPr>
        <w:t>（1）截止时间：2022年8月2</w:t>
      </w:r>
      <w:r>
        <w:rPr>
          <w:rFonts w:hint="eastAsia" w:ascii="仿宋" w:hAnsi="仿宋" w:eastAsia="仿宋" w:cs="仿宋"/>
          <w:szCs w:val="24"/>
          <w:lang w:val="en-US" w:eastAsia="zh-CN"/>
        </w:rPr>
        <w:t>3</w:t>
      </w:r>
      <w:r>
        <w:rPr>
          <w:rFonts w:hint="eastAsia" w:ascii="仿宋" w:hAnsi="仿宋" w:eastAsia="仿宋" w:cs="仿宋"/>
          <w:szCs w:val="24"/>
        </w:rPr>
        <w:t>日9时</w:t>
      </w:r>
      <w:r>
        <w:rPr>
          <w:rFonts w:hint="eastAsia" w:ascii="仿宋" w:hAnsi="仿宋" w:eastAsia="仿宋" w:cs="仿宋"/>
          <w:szCs w:val="24"/>
          <w:lang w:val="en-US" w:eastAsia="zh-CN"/>
        </w:rPr>
        <w:t>30分</w:t>
      </w:r>
      <w:r>
        <w:rPr>
          <w:rFonts w:hint="eastAsia" w:ascii="仿宋" w:hAnsi="仿宋" w:eastAsia="仿宋" w:cs="仿宋"/>
          <w:szCs w:val="24"/>
        </w:rPr>
        <w:t>（北京时间）；</w:t>
      </w:r>
    </w:p>
    <w:p>
      <w:pPr>
        <w:spacing w:line="500" w:lineRule="exact"/>
        <w:ind w:firstLine="480"/>
        <w:rPr>
          <w:rFonts w:ascii="仿宋" w:hAnsi="仿宋" w:eastAsia="仿宋" w:cs="仿宋"/>
          <w:szCs w:val="24"/>
        </w:rPr>
      </w:pPr>
      <w:r>
        <w:rPr>
          <w:rFonts w:hint="eastAsia" w:ascii="仿宋" w:hAnsi="仿宋" w:eastAsia="仿宋" w:cs="仿宋"/>
          <w:szCs w:val="24"/>
        </w:rPr>
        <w:t>（2）投标地点：厦门市思明区台东路68号18层1</w:t>
      </w:r>
      <w:r>
        <w:rPr>
          <w:rFonts w:ascii="仿宋" w:hAnsi="仿宋" w:eastAsia="仿宋" w:cs="仿宋"/>
          <w:szCs w:val="24"/>
        </w:rPr>
        <w:t>801</w:t>
      </w:r>
      <w:r>
        <w:rPr>
          <w:rFonts w:hint="eastAsia" w:ascii="仿宋" w:hAnsi="仿宋" w:eastAsia="仿宋" w:cs="仿宋"/>
          <w:szCs w:val="24"/>
        </w:rPr>
        <w:t>单元。</w:t>
      </w:r>
    </w:p>
    <w:p>
      <w:pPr>
        <w:spacing w:line="500" w:lineRule="exact"/>
        <w:ind w:firstLine="480"/>
        <w:rPr>
          <w:rFonts w:ascii="仿宋" w:hAnsi="仿宋" w:eastAsia="仿宋" w:cs="仿宋"/>
          <w:szCs w:val="24"/>
        </w:rPr>
      </w:pPr>
      <w:r>
        <w:rPr>
          <w:rFonts w:hint="eastAsia" w:ascii="仿宋" w:hAnsi="仿宋" w:eastAsia="仿宋" w:cs="仿宋"/>
          <w:szCs w:val="24"/>
        </w:rPr>
        <w:t>4、开标及讲标时间及地点：</w:t>
      </w:r>
    </w:p>
    <w:p>
      <w:pPr>
        <w:spacing w:line="500" w:lineRule="exact"/>
        <w:ind w:firstLine="480"/>
        <w:rPr>
          <w:rFonts w:ascii="仿宋" w:hAnsi="仿宋" w:eastAsia="仿宋" w:cs="仿宋"/>
          <w:szCs w:val="24"/>
        </w:rPr>
      </w:pPr>
      <w:r>
        <w:rPr>
          <w:rFonts w:hint="eastAsia" w:ascii="仿宋" w:hAnsi="仿宋" w:eastAsia="仿宋" w:cs="仿宋"/>
          <w:szCs w:val="24"/>
        </w:rPr>
        <w:t>（1）开标及讲标时间：2022年8月 2</w:t>
      </w:r>
      <w:r>
        <w:rPr>
          <w:rFonts w:hint="eastAsia" w:ascii="仿宋" w:hAnsi="仿宋" w:eastAsia="仿宋" w:cs="仿宋"/>
          <w:szCs w:val="24"/>
          <w:lang w:val="en-US" w:eastAsia="zh-CN"/>
        </w:rPr>
        <w:t>3</w:t>
      </w:r>
      <w:r>
        <w:rPr>
          <w:rFonts w:hint="eastAsia" w:ascii="仿宋" w:hAnsi="仿宋" w:eastAsia="仿宋" w:cs="仿宋"/>
          <w:szCs w:val="24"/>
        </w:rPr>
        <w:t>日9时</w:t>
      </w:r>
      <w:r>
        <w:rPr>
          <w:rFonts w:hint="eastAsia" w:ascii="仿宋" w:hAnsi="仿宋" w:eastAsia="仿宋" w:cs="仿宋"/>
          <w:szCs w:val="24"/>
          <w:lang w:val="en-US" w:eastAsia="zh-CN"/>
        </w:rPr>
        <w:t>30分</w:t>
      </w:r>
      <w:r>
        <w:rPr>
          <w:rFonts w:hint="eastAsia" w:ascii="仿宋" w:hAnsi="仿宋" w:eastAsia="仿宋" w:cs="仿宋"/>
          <w:szCs w:val="24"/>
        </w:rPr>
        <w:t>（北京时间）；</w:t>
      </w:r>
    </w:p>
    <w:p>
      <w:pPr>
        <w:spacing w:line="500" w:lineRule="exact"/>
        <w:ind w:firstLine="480"/>
        <w:rPr>
          <w:rFonts w:ascii="仿宋" w:hAnsi="仿宋" w:eastAsia="仿宋" w:cs="仿宋"/>
          <w:szCs w:val="24"/>
        </w:rPr>
      </w:pPr>
      <w:r>
        <w:rPr>
          <w:rFonts w:hint="eastAsia" w:ascii="仿宋" w:hAnsi="仿宋" w:eastAsia="仿宋" w:cs="仿宋"/>
          <w:szCs w:val="24"/>
        </w:rPr>
        <w:t>（2）开标及讲标地点：厦门市思明区台东路68号18层1</w:t>
      </w:r>
      <w:r>
        <w:rPr>
          <w:rFonts w:ascii="仿宋" w:hAnsi="仿宋" w:eastAsia="仿宋" w:cs="仿宋"/>
          <w:szCs w:val="24"/>
        </w:rPr>
        <w:t>801</w:t>
      </w:r>
      <w:r>
        <w:rPr>
          <w:rFonts w:hint="eastAsia" w:ascii="仿宋" w:hAnsi="仿宋" w:eastAsia="仿宋" w:cs="仿宋"/>
          <w:szCs w:val="24"/>
        </w:rPr>
        <w:t>单元；</w:t>
      </w:r>
    </w:p>
    <w:p>
      <w:pPr>
        <w:spacing w:line="500" w:lineRule="exact"/>
        <w:ind w:firstLine="480"/>
        <w:rPr>
          <w:rFonts w:ascii="仿宋" w:hAnsi="仿宋" w:eastAsia="仿宋" w:cs="仿宋"/>
          <w:szCs w:val="24"/>
        </w:rPr>
      </w:pPr>
      <w:r>
        <w:rPr>
          <w:rFonts w:hint="eastAsia" w:ascii="仿宋" w:hAnsi="仿宋" w:eastAsia="仿宋" w:cs="仿宋"/>
          <w:szCs w:val="24"/>
        </w:rPr>
        <w:t>（3）讲标要求：投标人讲标时间30分钟，答疑15分钟。</w:t>
      </w:r>
    </w:p>
    <w:p>
      <w:pPr>
        <w:spacing w:line="500" w:lineRule="exact"/>
        <w:ind w:firstLine="480"/>
        <w:rPr>
          <w:rFonts w:ascii="仿宋" w:hAnsi="仿宋" w:eastAsia="仿宋" w:cs="仿宋"/>
          <w:szCs w:val="24"/>
        </w:rPr>
      </w:pPr>
      <w:r>
        <w:rPr>
          <w:rFonts w:hint="eastAsia" w:ascii="仿宋" w:hAnsi="仿宋" w:eastAsia="仿宋" w:cs="仿宋"/>
          <w:szCs w:val="24"/>
        </w:rPr>
        <w:t>5、凡对本次招标文件提出询问，请于文件领取后二天内与厦门开元数字科技有限公司联系，对文件中所提的有关问题请以书面或电子邮件形式（电子邮件：lxl04@xmsmkg.com ）递送到上述地址，组织单位将视情况确定采用适当方式予以澄清或以书面形式予以答复。</w:t>
      </w:r>
    </w:p>
    <w:p>
      <w:pPr>
        <w:pStyle w:val="2"/>
        <w:keepNext w:val="0"/>
        <w:keepLines w:val="0"/>
        <w:spacing w:before="190" w:beforeLines="50" w:beforeAutospacing="0" w:after="381" w:afterLines="100" w:afterAutospacing="0" w:line="580" w:lineRule="exact"/>
        <w:contextualSpacing w:val="0"/>
        <w:rPr>
          <w:rFonts w:hint="eastAsia" w:ascii="方正小标宋简体" w:hAnsi="方正小标宋简体" w:eastAsia="方正小标宋简体" w:cs="方正小标宋简体"/>
          <w:b w:val="0"/>
          <w:kern w:val="0"/>
          <w:sz w:val="44"/>
          <w:szCs w:val="44"/>
        </w:rPr>
      </w:pPr>
      <w:bookmarkStart w:id="1" w:name="_Toc11364"/>
      <w:r>
        <w:rPr>
          <w:rFonts w:hint="eastAsia" w:ascii="方正小标宋简体" w:eastAsia="方正小标宋简体" w:cs="黑体"/>
          <w:b w:val="0"/>
          <w:bCs w:val="0"/>
          <w:kern w:val="0"/>
          <w:sz w:val="44"/>
          <w:szCs w:val="44"/>
        </w:rPr>
        <w:t>投标须知及前附表</w:t>
      </w:r>
      <w:bookmarkEnd w:id="1"/>
    </w:p>
    <w:p>
      <w:pPr>
        <w:pStyle w:val="3"/>
        <w:spacing w:line="560" w:lineRule="exact"/>
        <w:ind w:hanging="576"/>
      </w:pPr>
      <w:bookmarkStart w:id="2" w:name="_Toc28018"/>
      <w:r>
        <w:rPr>
          <w:rFonts w:hint="eastAsia"/>
        </w:rPr>
        <w:t>投标须知前附表</w:t>
      </w:r>
      <w:bookmarkEnd w:id="2"/>
    </w:p>
    <w:p>
      <w:pPr>
        <w:spacing w:line="560" w:lineRule="exact"/>
        <w:ind w:firstLine="480"/>
        <w:rPr>
          <w:rFonts w:ascii="仿宋" w:hAnsi="仿宋" w:eastAsia="仿宋" w:cs="仿宋"/>
          <w:szCs w:val="24"/>
        </w:rPr>
      </w:pPr>
      <w:r>
        <w:rPr>
          <w:rFonts w:hint="eastAsia" w:ascii="仿宋" w:hAnsi="仿宋" w:eastAsia="仿宋" w:cs="仿宋"/>
          <w:szCs w:val="24"/>
        </w:rPr>
        <w:t>开元数科拟采用公开方式对思明控股统一协同办公系统进行采购，欢迎符合资格、专业的公司参加投标。</w:t>
      </w:r>
    </w:p>
    <w:tbl>
      <w:tblPr>
        <w:tblStyle w:val="34"/>
        <w:tblW w:w="8364"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45"/>
        <w:gridCol w:w="1418"/>
        <w:gridCol w:w="1616"/>
        <w:gridCol w:w="31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2145" w:type="dxa"/>
            <w:tcBorders>
              <w:top w:val="single" w:color="auto" w:sz="12" w:space="0"/>
              <w:left w:val="single" w:color="auto" w:sz="12" w:space="0"/>
              <w:bottom w:val="single" w:color="auto" w:sz="4" w:space="0"/>
            </w:tcBorders>
            <w:shd w:val="clear" w:color="auto" w:fill="D9D9D9"/>
            <w:vAlign w:val="center"/>
          </w:tcPr>
          <w:p>
            <w:pPr>
              <w:spacing w:line="560" w:lineRule="exact"/>
              <w:ind w:firstLine="482"/>
              <w:rPr>
                <w:rFonts w:ascii="仿宋" w:hAnsi="仿宋" w:eastAsia="仿宋" w:cs="仿宋"/>
                <w:b/>
                <w:snapToGrid w:val="0"/>
                <w:szCs w:val="24"/>
              </w:rPr>
            </w:pPr>
            <w:r>
              <w:rPr>
                <w:rFonts w:hint="eastAsia" w:ascii="仿宋" w:hAnsi="仿宋" w:eastAsia="仿宋" w:cs="仿宋"/>
                <w:b/>
                <w:snapToGrid w:val="0"/>
                <w:szCs w:val="24"/>
              </w:rPr>
              <w:t>名称</w:t>
            </w:r>
          </w:p>
        </w:tc>
        <w:tc>
          <w:tcPr>
            <w:tcW w:w="6219" w:type="dxa"/>
            <w:gridSpan w:val="3"/>
            <w:tcBorders>
              <w:top w:val="single" w:color="auto" w:sz="12" w:space="0"/>
              <w:bottom w:val="single" w:color="auto" w:sz="4" w:space="0"/>
              <w:right w:val="single" w:color="auto" w:sz="12" w:space="0"/>
            </w:tcBorders>
            <w:shd w:val="clear" w:color="auto" w:fill="D9D9D9"/>
            <w:vAlign w:val="center"/>
          </w:tcPr>
          <w:p>
            <w:pPr>
              <w:spacing w:line="560" w:lineRule="exact"/>
              <w:ind w:firstLine="482"/>
              <w:rPr>
                <w:rFonts w:ascii="仿宋" w:hAnsi="仿宋" w:eastAsia="仿宋" w:cs="仿宋"/>
                <w:b/>
                <w:szCs w:val="24"/>
              </w:rPr>
            </w:pPr>
            <w:r>
              <w:rPr>
                <w:rFonts w:hint="eastAsia" w:ascii="仿宋" w:hAnsi="仿宋" w:eastAsia="仿宋" w:cs="仿宋"/>
                <w:b/>
                <w:szCs w:val="24"/>
              </w:rPr>
              <w:t>招标内容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97" w:hRule="atLeast"/>
        </w:trPr>
        <w:tc>
          <w:tcPr>
            <w:tcW w:w="2145" w:type="dxa"/>
            <w:tcBorders>
              <w:top w:val="single" w:color="auto" w:sz="4" w:space="0"/>
              <w:left w:val="single" w:color="auto" w:sz="12" w:space="0"/>
            </w:tcBorders>
            <w:vAlign w:val="center"/>
          </w:tcPr>
          <w:p>
            <w:pPr>
              <w:spacing w:line="560" w:lineRule="exact"/>
              <w:ind w:firstLine="480"/>
              <w:rPr>
                <w:rFonts w:ascii="仿宋" w:hAnsi="仿宋" w:eastAsia="仿宋" w:cs="仿宋"/>
                <w:snapToGrid w:val="0"/>
                <w:szCs w:val="24"/>
              </w:rPr>
            </w:pPr>
            <w:r>
              <w:rPr>
                <w:rFonts w:hint="eastAsia" w:ascii="仿宋" w:hAnsi="仿宋" w:eastAsia="仿宋" w:cs="仿宋"/>
                <w:snapToGrid w:val="0"/>
                <w:szCs w:val="24"/>
              </w:rPr>
              <w:t>招标名称</w:t>
            </w:r>
          </w:p>
        </w:tc>
        <w:tc>
          <w:tcPr>
            <w:tcW w:w="6219" w:type="dxa"/>
            <w:gridSpan w:val="3"/>
            <w:tcBorders>
              <w:top w:val="single" w:color="auto" w:sz="4" w:space="0"/>
              <w:right w:val="single" w:color="auto" w:sz="12" w:space="0"/>
            </w:tcBorders>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zCs w:val="24"/>
              </w:rPr>
              <w:t>思明控股统一协同办公系统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2145" w:type="dxa"/>
            <w:vMerge w:val="restart"/>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rPr>
              <w:t>联 系 人</w:t>
            </w:r>
          </w:p>
        </w:tc>
        <w:tc>
          <w:tcPr>
            <w:tcW w:w="1418" w:type="dxa"/>
            <w:vMerge w:val="restart"/>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罗晓兰</w:t>
            </w:r>
          </w:p>
        </w:tc>
        <w:tc>
          <w:tcPr>
            <w:tcW w:w="1616" w:type="dxa"/>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电   话</w:t>
            </w:r>
          </w:p>
        </w:tc>
        <w:tc>
          <w:tcPr>
            <w:tcW w:w="3185" w:type="dxa"/>
            <w:tcBorders>
              <w:right w:val="single" w:color="auto" w:sz="12" w:space="0"/>
            </w:tcBorders>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18750918104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2145" w:type="dxa"/>
            <w:vMerge w:val="continue"/>
            <w:tcBorders>
              <w:left w:val="single" w:color="auto" w:sz="12" w:space="0"/>
            </w:tcBorders>
            <w:vAlign w:val="center"/>
          </w:tcPr>
          <w:p>
            <w:pPr>
              <w:spacing w:line="560" w:lineRule="exact"/>
              <w:ind w:firstLine="480"/>
              <w:jc w:val="center"/>
              <w:rPr>
                <w:rFonts w:ascii="仿宋" w:hAnsi="仿宋" w:eastAsia="仿宋" w:cs="仿宋"/>
                <w:snapToGrid w:val="0"/>
                <w:szCs w:val="24"/>
              </w:rPr>
            </w:pPr>
          </w:p>
        </w:tc>
        <w:tc>
          <w:tcPr>
            <w:tcW w:w="1418" w:type="dxa"/>
            <w:vMerge w:val="continue"/>
            <w:vAlign w:val="center"/>
          </w:tcPr>
          <w:p>
            <w:pPr>
              <w:spacing w:line="560" w:lineRule="exact"/>
              <w:ind w:firstLine="480"/>
              <w:rPr>
                <w:rFonts w:ascii="仿宋" w:hAnsi="仿宋" w:eastAsia="仿宋" w:cs="仿宋"/>
                <w:snapToGrid w:val="0"/>
                <w:szCs w:val="24"/>
              </w:rPr>
            </w:pPr>
          </w:p>
        </w:tc>
        <w:tc>
          <w:tcPr>
            <w:tcW w:w="1616" w:type="dxa"/>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电子邮件</w:t>
            </w:r>
          </w:p>
        </w:tc>
        <w:tc>
          <w:tcPr>
            <w:tcW w:w="3185" w:type="dxa"/>
            <w:tcBorders>
              <w:right w:val="single" w:color="auto" w:sz="12" w:space="0"/>
            </w:tcBorders>
            <w:vAlign w:val="center"/>
          </w:tcPr>
          <w:p>
            <w:pPr>
              <w:spacing w:line="560" w:lineRule="exact"/>
              <w:ind w:firstLine="0" w:firstLineChars="0"/>
              <w:jc w:val="left"/>
              <w:rPr>
                <w:rFonts w:ascii="仿宋" w:hAnsi="仿宋" w:eastAsia="仿宋" w:cs="仿宋"/>
                <w:szCs w:val="24"/>
              </w:rPr>
            </w:pPr>
            <w:r>
              <w:rPr>
                <w:rFonts w:hint="eastAsia" w:ascii="仿宋" w:hAnsi="仿宋" w:eastAsia="仿宋" w:cs="仿宋"/>
                <w:szCs w:val="24"/>
              </w:rPr>
              <w:t xml:space="preserve">lxl04@xmsmkg.com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2145" w:type="dxa"/>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lang w:val="en-US" w:eastAsia="zh-CN"/>
              </w:rPr>
              <w:t>采购</w:t>
            </w:r>
            <w:r>
              <w:rPr>
                <w:rFonts w:hint="eastAsia" w:ascii="仿宋" w:hAnsi="仿宋" w:eastAsia="仿宋" w:cs="仿宋"/>
                <w:snapToGrid w:val="0"/>
                <w:szCs w:val="24"/>
              </w:rPr>
              <w:t>方式</w:t>
            </w:r>
          </w:p>
        </w:tc>
        <w:tc>
          <w:tcPr>
            <w:tcW w:w="6219" w:type="dxa"/>
            <w:gridSpan w:val="3"/>
            <w:tcBorders>
              <w:right w:val="single" w:color="auto" w:sz="12" w:space="0"/>
            </w:tcBorders>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zCs w:val="24"/>
              </w:rPr>
              <w:t>竞争性磋商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2145" w:type="dxa"/>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rPr>
              <w:t>招标文件发放时间</w:t>
            </w:r>
          </w:p>
        </w:tc>
        <w:tc>
          <w:tcPr>
            <w:tcW w:w="6219" w:type="dxa"/>
            <w:gridSpan w:val="3"/>
            <w:tcBorders>
              <w:right w:val="single" w:color="auto" w:sz="12" w:space="0"/>
            </w:tcBorders>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zCs w:val="24"/>
              </w:rPr>
              <w:t>2022年8月1</w:t>
            </w:r>
            <w:r>
              <w:rPr>
                <w:rFonts w:hint="eastAsia" w:ascii="仿宋" w:hAnsi="仿宋" w:eastAsia="仿宋" w:cs="仿宋"/>
                <w:szCs w:val="24"/>
                <w:lang w:val="en-US" w:eastAsia="zh-CN"/>
              </w:rPr>
              <w:t>6</w:t>
            </w:r>
            <w:r>
              <w:rPr>
                <w:rFonts w:hint="eastAsia" w:ascii="仿宋" w:hAnsi="仿宋" w:eastAsia="仿宋" w:cs="仿宋"/>
                <w:szCs w:val="24"/>
              </w:rPr>
              <w:t>日1</w:t>
            </w:r>
            <w:r>
              <w:rPr>
                <w:rFonts w:hint="eastAsia" w:ascii="仿宋" w:hAnsi="仿宋" w:eastAsia="仿宋" w:cs="仿宋"/>
                <w:szCs w:val="24"/>
                <w:lang w:val="en-US" w:eastAsia="zh-CN"/>
              </w:rPr>
              <w:t>6</w:t>
            </w:r>
            <w:r>
              <w:rPr>
                <w:rFonts w:hint="eastAsia" w:ascii="仿宋" w:hAnsi="仿宋" w:eastAsia="仿宋" w:cs="仿宋"/>
                <w:szCs w:val="24"/>
              </w:rPr>
              <w:t>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2145" w:type="dxa"/>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rPr>
              <w:t>答疑提交截止时间</w:t>
            </w:r>
          </w:p>
        </w:tc>
        <w:tc>
          <w:tcPr>
            <w:tcW w:w="6219" w:type="dxa"/>
            <w:gridSpan w:val="3"/>
            <w:tcBorders>
              <w:right w:val="single" w:color="auto" w:sz="12" w:space="0"/>
            </w:tcBorders>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zCs w:val="24"/>
              </w:rPr>
              <w:t>2022年8月</w:t>
            </w:r>
            <w:r>
              <w:rPr>
                <w:rFonts w:hint="eastAsia" w:ascii="仿宋" w:hAnsi="仿宋" w:eastAsia="仿宋" w:cs="仿宋"/>
                <w:szCs w:val="24"/>
                <w:lang w:val="en-US" w:eastAsia="zh-CN"/>
              </w:rPr>
              <w:t>22</w:t>
            </w:r>
            <w:r>
              <w:rPr>
                <w:rFonts w:hint="eastAsia" w:ascii="仿宋" w:hAnsi="仿宋" w:eastAsia="仿宋" w:cs="仿宋"/>
                <w:szCs w:val="24"/>
              </w:rPr>
              <w:t>日9时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2145" w:type="dxa"/>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rPr>
              <w:t>投标截止时间</w:t>
            </w:r>
          </w:p>
        </w:tc>
        <w:tc>
          <w:tcPr>
            <w:tcW w:w="6219" w:type="dxa"/>
            <w:gridSpan w:val="3"/>
            <w:tcBorders>
              <w:right w:val="single" w:color="auto" w:sz="12" w:space="0"/>
            </w:tcBorders>
            <w:vAlign w:val="center"/>
          </w:tcPr>
          <w:p>
            <w:pPr>
              <w:spacing w:line="560" w:lineRule="exact"/>
              <w:ind w:firstLine="0" w:firstLineChars="0"/>
              <w:rPr>
                <w:rFonts w:hint="default" w:ascii="仿宋" w:hAnsi="仿宋" w:eastAsia="仿宋" w:cs="仿宋"/>
                <w:snapToGrid w:val="0"/>
                <w:szCs w:val="24"/>
                <w:lang w:val="en-US" w:eastAsia="zh-CN"/>
              </w:rPr>
            </w:pPr>
            <w:r>
              <w:rPr>
                <w:rFonts w:hint="eastAsia" w:ascii="仿宋" w:hAnsi="仿宋" w:eastAsia="仿宋" w:cs="仿宋"/>
                <w:szCs w:val="24"/>
              </w:rPr>
              <w:t>2022年8月2</w:t>
            </w:r>
            <w:r>
              <w:rPr>
                <w:rFonts w:hint="eastAsia" w:ascii="仿宋" w:hAnsi="仿宋" w:eastAsia="仿宋" w:cs="仿宋"/>
                <w:szCs w:val="24"/>
                <w:lang w:val="en-US" w:eastAsia="zh-CN"/>
              </w:rPr>
              <w:t>3</w:t>
            </w:r>
            <w:r>
              <w:rPr>
                <w:rFonts w:hint="eastAsia" w:ascii="仿宋" w:hAnsi="仿宋" w:eastAsia="仿宋" w:cs="仿宋"/>
                <w:szCs w:val="24"/>
              </w:rPr>
              <w:t>日9时</w:t>
            </w:r>
            <w:r>
              <w:rPr>
                <w:rFonts w:hint="eastAsia" w:ascii="仿宋" w:hAnsi="仿宋" w:eastAsia="仿宋" w:cs="仿宋"/>
                <w:szCs w:val="24"/>
                <w:lang w:val="en-US" w:eastAsia="zh-CN"/>
              </w:rPr>
              <w:t>30分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2145" w:type="dxa"/>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rPr>
              <w:t>投标文件有效期</w:t>
            </w:r>
          </w:p>
        </w:tc>
        <w:tc>
          <w:tcPr>
            <w:tcW w:w="6219" w:type="dxa"/>
            <w:gridSpan w:val="3"/>
            <w:tcBorders>
              <w:right w:val="single" w:color="auto" w:sz="12" w:space="0"/>
            </w:tcBorders>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投标截止时间后</w:t>
            </w:r>
            <w:r>
              <w:rPr>
                <w:rFonts w:hint="eastAsia" w:ascii="仿宋" w:hAnsi="仿宋" w:eastAsia="仿宋" w:cs="仿宋"/>
                <w:snapToGrid w:val="0"/>
                <w:szCs w:val="24"/>
                <w:u w:val="single"/>
              </w:rPr>
              <w:t>90</w:t>
            </w:r>
            <w:r>
              <w:rPr>
                <w:rFonts w:hint="eastAsia" w:ascii="仿宋" w:hAnsi="仿宋" w:eastAsia="仿宋" w:cs="仿宋"/>
                <w:snapToGrid w:val="0"/>
                <w:szCs w:val="24"/>
              </w:rPr>
              <w:t>个日历日内有效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2145" w:type="dxa"/>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rPr>
              <w:t>投标文件份数</w:t>
            </w:r>
          </w:p>
        </w:tc>
        <w:tc>
          <w:tcPr>
            <w:tcW w:w="6219" w:type="dxa"/>
            <w:gridSpan w:val="3"/>
            <w:tcBorders>
              <w:right w:val="single" w:color="auto" w:sz="12" w:space="0"/>
            </w:tcBorders>
            <w:vAlign w:val="center"/>
          </w:tcPr>
          <w:p>
            <w:pPr>
              <w:spacing w:line="560" w:lineRule="exact"/>
              <w:ind w:firstLine="0" w:firstLineChars="0"/>
              <w:rPr>
                <w:rFonts w:ascii="仿宋" w:hAnsi="仿宋" w:eastAsia="仿宋" w:cs="仿宋"/>
                <w:b/>
                <w:snapToGrid w:val="0"/>
                <w:szCs w:val="24"/>
              </w:rPr>
            </w:pPr>
            <w:r>
              <w:rPr>
                <w:rFonts w:hint="eastAsia" w:ascii="仿宋" w:hAnsi="仿宋" w:eastAsia="仿宋" w:cs="仿宋"/>
                <w:b/>
                <w:szCs w:val="24"/>
              </w:rPr>
              <w:t>一式两份，一正一副；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2145" w:type="dxa"/>
            <w:tcBorders>
              <w:left w:val="single" w:color="auto" w:sz="12" w:space="0"/>
            </w:tcBorders>
            <w:vAlign w:val="center"/>
          </w:tcPr>
          <w:p>
            <w:pPr>
              <w:spacing w:line="560" w:lineRule="exact"/>
              <w:ind w:firstLine="0" w:firstLineChars="0"/>
              <w:jc w:val="center"/>
              <w:rPr>
                <w:rFonts w:ascii="仿宋" w:hAnsi="仿宋" w:eastAsia="仿宋" w:cs="仿宋"/>
                <w:snapToGrid w:val="0"/>
                <w:szCs w:val="24"/>
              </w:rPr>
            </w:pPr>
            <w:r>
              <w:rPr>
                <w:rFonts w:hint="eastAsia" w:ascii="仿宋" w:hAnsi="仿宋" w:eastAsia="仿宋" w:cs="仿宋"/>
                <w:snapToGrid w:val="0"/>
                <w:szCs w:val="24"/>
              </w:rPr>
              <w:t>投标文件递交</w:t>
            </w:r>
          </w:p>
        </w:tc>
        <w:tc>
          <w:tcPr>
            <w:tcW w:w="6219" w:type="dxa"/>
            <w:gridSpan w:val="3"/>
            <w:tcBorders>
              <w:right w:val="single" w:color="auto" w:sz="12" w:space="0"/>
            </w:tcBorders>
            <w:vAlign w:val="center"/>
          </w:tcPr>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递交至：</w:t>
            </w:r>
            <w:r>
              <w:rPr>
                <w:rFonts w:hint="eastAsia" w:ascii="仿宋" w:hAnsi="仿宋" w:eastAsia="仿宋" w:cs="仿宋"/>
                <w:szCs w:val="24"/>
              </w:rPr>
              <w:t>厦门开元数字科技有限公司</w:t>
            </w:r>
          </w:p>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地  址：</w:t>
            </w:r>
            <w:r>
              <w:rPr>
                <w:rFonts w:hint="eastAsia" w:ascii="仿宋" w:hAnsi="仿宋" w:eastAsia="仿宋" w:cs="仿宋"/>
                <w:szCs w:val="24"/>
              </w:rPr>
              <w:t>厦门市思明区台东路68号18层1801单元</w:t>
            </w:r>
          </w:p>
          <w:p>
            <w:pPr>
              <w:spacing w:line="560" w:lineRule="exact"/>
              <w:ind w:firstLine="0" w:firstLineChars="0"/>
              <w:rPr>
                <w:rFonts w:ascii="仿宋" w:hAnsi="仿宋" w:eastAsia="仿宋" w:cs="仿宋"/>
                <w:snapToGrid w:val="0"/>
                <w:szCs w:val="24"/>
              </w:rPr>
            </w:pPr>
            <w:r>
              <w:rPr>
                <w:rFonts w:hint="eastAsia" w:ascii="仿宋" w:hAnsi="仿宋" w:eastAsia="仿宋" w:cs="仿宋"/>
                <w:snapToGrid w:val="0"/>
                <w:szCs w:val="24"/>
              </w:rPr>
              <w:t>接收人：罗晓兰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2145" w:type="dxa"/>
            <w:tcBorders>
              <w:left w:val="single" w:color="auto" w:sz="12" w:space="0"/>
            </w:tcBorders>
          </w:tcPr>
          <w:p>
            <w:pPr>
              <w:spacing w:line="560" w:lineRule="exact"/>
              <w:ind w:firstLine="0" w:firstLineChars="0"/>
              <w:jc w:val="center"/>
              <w:rPr>
                <w:rFonts w:ascii="仿宋" w:hAnsi="仿宋" w:eastAsia="仿宋" w:cs="仿宋"/>
                <w:snapToGrid w:val="0"/>
                <w:color w:val="000000"/>
                <w:szCs w:val="24"/>
              </w:rPr>
            </w:pPr>
            <w:r>
              <w:rPr>
                <w:rFonts w:hint="eastAsia" w:ascii="仿宋" w:hAnsi="仿宋" w:eastAsia="仿宋" w:cs="仿宋"/>
                <w:snapToGrid w:val="0"/>
                <w:color w:val="000000"/>
                <w:szCs w:val="24"/>
              </w:rPr>
              <w:t>评标方法及标准</w:t>
            </w:r>
          </w:p>
        </w:tc>
        <w:tc>
          <w:tcPr>
            <w:tcW w:w="6219" w:type="dxa"/>
            <w:gridSpan w:val="3"/>
            <w:tcBorders>
              <w:right w:val="single" w:color="auto" w:sz="12" w:space="0"/>
            </w:tcBorders>
          </w:tcPr>
          <w:p>
            <w:pPr>
              <w:spacing w:line="560" w:lineRule="exact"/>
              <w:ind w:firstLine="0" w:firstLineChars="0"/>
              <w:rPr>
                <w:rFonts w:ascii="仿宋" w:hAnsi="仿宋" w:eastAsia="仿宋" w:cs="仿宋"/>
                <w:snapToGrid w:val="0"/>
                <w:color w:val="000000"/>
                <w:szCs w:val="24"/>
              </w:rPr>
            </w:pPr>
            <w:r>
              <w:rPr>
                <w:rFonts w:hint="eastAsia" w:ascii="仿宋" w:hAnsi="仿宋" w:eastAsia="仿宋" w:cs="仿宋"/>
                <w:snapToGrid w:val="0"/>
                <w:szCs w:val="24"/>
              </w:rPr>
              <w:t>采用综合评估法，若投标人不足3人则流标，招标人择期重新发布招标公告重新招标，若连续流标2次，招标人可直接从投标人当中选择一个进行直接采购</w:t>
            </w:r>
          </w:p>
        </w:tc>
      </w:tr>
    </w:tbl>
    <w:p>
      <w:pPr>
        <w:spacing w:line="560" w:lineRule="exact"/>
        <w:ind w:firstLine="640"/>
        <w:rPr>
          <w:rFonts w:ascii="仿宋_GB2312" w:hAnsi="仿宋_GB2312" w:eastAsia="仿宋_GB2312" w:cs="仿宋_GB2312"/>
          <w:sz w:val="32"/>
          <w:szCs w:val="32"/>
        </w:rPr>
      </w:pPr>
    </w:p>
    <w:p>
      <w:pPr>
        <w:pStyle w:val="3"/>
        <w:spacing w:line="560" w:lineRule="exact"/>
        <w:ind w:hanging="576"/>
      </w:pPr>
      <w:bookmarkStart w:id="3" w:name="_Toc16280"/>
      <w:r>
        <w:rPr>
          <w:rFonts w:hint="eastAsia"/>
        </w:rPr>
        <w:t>招标说明</w:t>
      </w:r>
      <w:bookmarkEnd w:id="3"/>
    </w:p>
    <w:p>
      <w:pPr>
        <w:pStyle w:val="58"/>
        <w:numPr>
          <w:ilvl w:val="0"/>
          <w:numId w:val="4"/>
        </w:numPr>
        <w:spacing w:line="560" w:lineRule="exact"/>
        <w:ind w:left="567" w:hanging="420" w:firstLineChars="0"/>
        <w:rPr>
          <w:rFonts w:ascii="仿宋" w:hAnsi="仿宋" w:eastAsia="仿宋" w:cs="仿宋"/>
          <w:szCs w:val="24"/>
        </w:rPr>
      </w:pPr>
      <w:r>
        <w:rPr>
          <w:rFonts w:hint="eastAsia" w:ascii="仿宋" w:hAnsi="仿宋" w:eastAsia="仿宋" w:cs="仿宋"/>
          <w:szCs w:val="24"/>
        </w:rPr>
        <w:t>项目名称：思明控股统一协同办公系统</w:t>
      </w:r>
    </w:p>
    <w:p>
      <w:pPr>
        <w:pStyle w:val="58"/>
        <w:numPr>
          <w:ilvl w:val="0"/>
          <w:numId w:val="4"/>
        </w:numPr>
        <w:spacing w:line="560" w:lineRule="exact"/>
        <w:ind w:left="567" w:hanging="420" w:firstLineChars="0"/>
        <w:rPr>
          <w:rFonts w:ascii="仿宋" w:hAnsi="仿宋" w:eastAsia="仿宋" w:cs="仿宋"/>
          <w:szCs w:val="24"/>
        </w:rPr>
      </w:pPr>
      <w:bookmarkStart w:id="4" w:name="_Toc184573400"/>
      <w:bookmarkStart w:id="5" w:name="_Toc184573069"/>
      <w:r>
        <w:rPr>
          <w:rFonts w:hint="eastAsia" w:ascii="仿宋" w:hAnsi="仿宋" w:eastAsia="仿宋" w:cs="仿宋"/>
          <w:szCs w:val="24"/>
        </w:rPr>
        <w:t>招标人、投标人及中标人。</w:t>
      </w:r>
      <w:bookmarkEnd w:id="4"/>
      <w:bookmarkEnd w:id="5"/>
    </w:p>
    <w:p>
      <w:pPr>
        <w:spacing w:line="560" w:lineRule="exact"/>
        <w:ind w:firstLine="480"/>
        <w:rPr>
          <w:rFonts w:ascii="仿宋" w:hAnsi="仿宋" w:eastAsia="仿宋" w:cs="仿宋"/>
          <w:szCs w:val="24"/>
        </w:rPr>
      </w:pPr>
      <w:r>
        <w:rPr>
          <w:rFonts w:hint="eastAsia" w:ascii="仿宋" w:hAnsi="仿宋" w:eastAsia="仿宋" w:cs="仿宋"/>
          <w:szCs w:val="24"/>
        </w:rPr>
        <w:t>本文件中招标人为厦门开元数字科技有限公司亦称买方；</w:t>
      </w:r>
    </w:p>
    <w:p>
      <w:pPr>
        <w:spacing w:line="560" w:lineRule="exact"/>
        <w:ind w:firstLine="480"/>
        <w:rPr>
          <w:rFonts w:ascii="仿宋" w:hAnsi="仿宋" w:eastAsia="仿宋" w:cs="仿宋"/>
          <w:szCs w:val="24"/>
        </w:rPr>
      </w:pPr>
      <w:r>
        <w:rPr>
          <w:rFonts w:hint="eastAsia" w:ascii="仿宋" w:hAnsi="仿宋" w:eastAsia="仿宋" w:cs="仿宋"/>
          <w:szCs w:val="24"/>
        </w:rPr>
        <w:t>投标人系指具备相应资质的软件公司；</w:t>
      </w:r>
    </w:p>
    <w:p>
      <w:pPr>
        <w:spacing w:line="560" w:lineRule="exact"/>
        <w:ind w:firstLine="480"/>
        <w:rPr>
          <w:rFonts w:ascii="仿宋" w:hAnsi="仿宋" w:eastAsia="仿宋" w:cs="仿宋"/>
          <w:szCs w:val="24"/>
        </w:rPr>
      </w:pPr>
      <w:r>
        <w:rPr>
          <w:rFonts w:hint="eastAsia" w:ascii="仿宋" w:hAnsi="仿宋" w:eastAsia="仿宋" w:cs="仿宋"/>
          <w:szCs w:val="24"/>
        </w:rPr>
        <w:t>中标人系指最后中标的投标人，亦称卖方。</w:t>
      </w:r>
    </w:p>
    <w:p>
      <w:pPr>
        <w:pStyle w:val="58"/>
        <w:spacing w:line="560" w:lineRule="exact"/>
        <w:ind w:firstLine="0" w:firstLineChars="0"/>
        <w:rPr>
          <w:rFonts w:ascii="仿宋" w:hAnsi="仿宋" w:eastAsia="仿宋" w:cs="仿宋"/>
          <w:szCs w:val="24"/>
        </w:rPr>
      </w:pPr>
      <w:bookmarkStart w:id="6" w:name="_Toc184573401"/>
      <w:bookmarkStart w:id="7" w:name="_Toc184573070"/>
      <w:r>
        <w:rPr>
          <w:rFonts w:hint="eastAsia" w:ascii="仿宋" w:hAnsi="仿宋" w:eastAsia="仿宋" w:cs="仿宋"/>
          <w:szCs w:val="24"/>
        </w:rPr>
        <w:t>（3）招标内容（详细内容见第三部分和第四部分的项目需求说明）</w:t>
      </w:r>
      <w:bookmarkEnd w:id="6"/>
      <w:bookmarkEnd w:id="7"/>
      <w:r>
        <w:rPr>
          <w:rFonts w:hint="eastAsia" w:ascii="仿宋" w:hAnsi="仿宋" w:eastAsia="仿宋" w:cs="仿宋"/>
          <w:szCs w:val="24"/>
        </w:rPr>
        <w:t xml:space="preserve">。 </w:t>
      </w:r>
    </w:p>
    <w:p>
      <w:pPr>
        <w:pStyle w:val="58"/>
        <w:tabs>
          <w:tab w:val="left" w:pos="510"/>
        </w:tabs>
        <w:spacing w:line="560" w:lineRule="exact"/>
        <w:ind w:firstLine="0" w:firstLineChars="0"/>
        <w:rPr>
          <w:rFonts w:ascii="仿宋" w:hAnsi="仿宋" w:eastAsia="仿宋" w:cs="仿宋"/>
          <w:szCs w:val="24"/>
        </w:rPr>
      </w:pPr>
      <w:bookmarkStart w:id="8" w:name="_Toc184573074"/>
      <w:bookmarkStart w:id="9" w:name="_Toc184573405"/>
      <w:r>
        <w:rPr>
          <w:rFonts w:hint="eastAsia" w:ascii="仿宋" w:hAnsi="仿宋" w:eastAsia="仿宋" w:cs="仿宋"/>
          <w:szCs w:val="24"/>
        </w:rPr>
        <w:t>（4）投标保证金：</w:t>
      </w:r>
      <w:bookmarkEnd w:id="8"/>
      <w:bookmarkEnd w:id="9"/>
      <w:r>
        <w:rPr>
          <w:rFonts w:hint="eastAsia" w:ascii="仿宋" w:hAnsi="仿宋" w:eastAsia="仿宋" w:cs="仿宋"/>
          <w:szCs w:val="24"/>
        </w:rPr>
        <w:t>人民币壹万元整</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 xml:space="preserve"> 1、投标保证金以转账、电汇等形式提交，必须在投标截止时间前到达指定账户，不收取现金、现金支票，不接受任何个人名义的转账，否则作未提交投标保证金处理。投标文件中应体现投标保证金的缴交凭证。</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2、保证金的退还：</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①招标人将在《中标通知书》发出之日起30个工作日内予以原额无息退还未中标人的投标保证金。</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②在中标人签订合同后20个工作日内，中标人凭合同原件或者合同复印件（加盖中标人公章）退还投标保证金。投标保证金退还系原额无息退返。</w:t>
      </w:r>
    </w:p>
    <w:p>
      <w:pPr>
        <w:pStyle w:val="58"/>
        <w:numPr>
          <w:ilvl w:val="0"/>
          <w:numId w:val="5"/>
        </w:numPr>
        <w:spacing w:line="560" w:lineRule="exact"/>
        <w:ind w:left="567" w:firstLine="0" w:firstLineChars="0"/>
        <w:rPr>
          <w:rFonts w:ascii="仿宋" w:hAnsi="仿宋" w:eastAsia="仿宋" w:cs="仿宋"/>
          <w:szCs w:val="24"/>
        </w:rPr>
      </w:pPr>
      <w:r>
        <w:rPr>
          <w:rFonts w:hint="eastAsia" w:ascii="仿宋" w:hAnsi="仿宋" w:eastAsia="仿宋" w:cs="仿宋"/>
          <w:szCs w:val="24"/>
        </w:rPr>
        <w:t>招标人银行账号：</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公司名称：厦门开元数字科技有限公司</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开户银行：厦门银行开元支行</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银行账户：80117400002919</w:t>
      </w:r>
    </w:p>
    <w:p>
      <w:pPr>
        <w:pStyle w:val="58"/>
        <w:spacing w:line="560" w:lineRule="exact"/>
        <w:ind w:left="147" w:firstLine="480"/>
        <w:rPr>
          <w:rFonts w:ascii="仿宋" w:hAnsi="仿宋" w:eastAsia="仿宋" w:cs="仿宋"/>
          <w:szCs w:val="24"/>
        </w:rPr>
      </w:pPr>
      <w:bookmarkStart w:id="10" w:name="_Toc184573408"/>
      <w:bookmarkStart w:id="11" w:name="_Toc184573077"/>
      <w:r>
        <w:rPr>
          <w:rFonts w:hint="eastAsia" w:ascii="仿宋" w:hAnsi="仿宋" w:eastAsia="仿宋" w:cs="仿宋"/>
          <w:szCs w:val="24"/>
        </w:rPr>
        <w:t>（5）中标人在签订合同前，应向招标人缴纳合同总金额的5%作为履约保证金。</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1.履约保证金数额：合同总金额的5%。</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2.履约保证金形式：转账。</w:t>
      </w:r>
    </w:p>
    <w:p>
      <w:pPr>
        <w:pStyle w:val="58"/>
        <w:spacing w:line="560" w:lineRule="exact"/>
        <w:ind w:left="567" w:firstLine="0" w:firstLineChars="0"/>
        <w:rPr>
          <w:rFonts w:ascii="仿宋" w:hAnsi="仿宋" w:eastAsia="仿宋" w:cs="仿宋"/>
          <w:szCs w:val="24"/>
        </w:rPr>
      </w:pPr>
      <w:r>
        <w:rPr>
          <w:rFonts w:hint="eastAsia" w:ascii="仿宋" w:hAnsi="仿宋" w:eastAsia="仿宋" w:cs="仿宋"/>
          <w:szCs w:val="24"/>
        </w:rPr>
        <w:t>3.履约保证金在项目验收合格后自动转为质量保证金，在双方合同终止、交接清楚、质保期（或保修期）结束和债权债务等关系理顺后</w:t>
      </w:r>
      <w:r>
        <w:rPr>
          <w:rFonts w:ascii="仿宋" w:hAnsi="仿宋" w:eastAsia="仿宋" w:cs="仿宋"/>
          <w:szCs w:val="24"/>
        </w:rPr>
        <w:t>25</w:t>
      </w:r>
      <w:r>
        <w:rPr>
          <w:rFonts w:hint="eastAsia" w:ascii="仿宋" w:hAnsi="仿宋" w:eastAsia="仿宋" w:cs="仿宋"/>
          <w:szCs w:val="24"/>
        </w:rPr>
        <w:t>个工作日内无息返还。</w:t>
      </w:r>
    </w:p>
    <w:p>
      <w:pPr>
        <w:pStyle w:val="58"/>
        <w:spacing w:line="560" w:lineRule="exact"/>
        <w:ind w:left="147" w:firstLine="480"/>
        <w:rPr>
          <w:rFonts w:ascii="仿宋" w:hAnsi="仿宋" w:eastAsia="仿宋" w:cs="仿宋"/>
          <w:szCs w:val="24"/>
        </w:rPr>
      </w:pPr>
      <w:r>
        <w:rPr>
          <w:rFonts w:hint="eastAsia" w:ascii="仿宋" w:hAnsi="仿宋" w:eastAsia="仿宋" w:cs="仿宋"/>
          <w:szCs w:val="24"/>
        </w:rPr>
        <w:t>（6）投标人应接受：报价最低的投标人不一定是中标人，即不保证最低价中标</w:t>
      </w:r>
      <w:bookmarkEnd w:id="10"/>
      <w:bookmarkEnd w:id="11"/>
      <w:r>
        <w:rPr>
          <w:rFonts w:hint="eastAsia" w:ascii="仿宋" w:hAnsi="仿宋" w:eastAsia="仿宋" w:cs="仿宋"/>
          <w:szCs w:val="24"/>
        </w:rPr>
        <w:t>。</w:t>
      </w:r>
    </w:p>
    <w:p>
      <w:pPr>
        <w:pStyle w:val="3"/>
        <w:spacing w:line="560" w:lineRule="exact"/>
        <w:ind w:hanging="576"/>
      </w:pPr>
      <w:bookmarkStart w:id="12" w:name="_Toc28774"/>
      <w:r>
        <w:rPr>
          <w:rFonts w:hint="eastAsia"/>
        </w:rPr>
        <w:t>投标人资质要求</w:t>
      </w:r>
      <w:bookmarkEnd w:id="12"/>
    </w:p>
    <w:p>
      <w:pPr>
        <w:pStyle w:val="4"/>
        <w:spacing w:line="560" w:lineRule="exact"/>
      </w:pPr>
      <w:bookmarkStart w:id="13" w:name="_Toc29355"/>
      <w:r>
        <w:rPr>
          <w:rFonts w:hint="eastAsia"/>
        </w:rPr>
        <w:t>投标人要求</w:t>
      </w:r>
      <w:bookmarkEnd w:id="13"/>
    </w:p>
    <w:p>
      <w:pPr>
        <w:pStyle w:val="58"/>
        <w:numPr>
          <w:ilvl w:val="0"/>
          <w:numId w:val="6"/>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投标人必须是具有独立法人资格的公司；必须是专业从事计算机软件开发厂商等</w:t>
      </w:r>
      <w:r>
        <w:rPr>
          <w:rFonts w:hint="eastAsia" w:ascii="仿宋" w:hAnsi="仿宋" w:eastAsia="仿宋" w:cs="仿宋"/>
          <w:szCs w:val="24"/>
          <w:lang w:eastAsia="zh-Hans"/>
        </w:rPr>
        <w:t>。</w:t>
      </w:r>
    </w:p>
    <w:p>
      <w:pPr>
        <w:pStyle w:val="4"/>
        <w:spacing w:line="560" w:lineRule="exact"/>
      </w:pPr>
      <w:bookmarkStart w:id="14" w:name="_Toc20093"/>
      <w:r>
        <w:rPr>
          <w:rFonts w:hint="eastAsia"/>
        </w:rPr>
        <w:t>投标人其它资质要求</w:t>
      </w:r>
      <w:bookmarkEnd w:id="14"/>
    </w:p>
    <w:p>
      <w:pPr>
        <w:pStyle w:val="58"/>
        <w:numPr>
          <w:ilvl w:val="0"/>
          <w:numId w:val="6"/>
        </w:numPr>
        <w:spacing w:line="560" w:lineRule="exact"/>
        <w:ind w:left="900" w:hanging="420" w:firstLineChars="0"/>
        <w:rPr>
          <w:rFonts w:ascii="仿宋" w:hAnsi="仿宋" w:eastAsia="仿宋" w:cs="仿宋"/>
          <w:szCs w:val="24"/>
        </w:rPr>
      </w:pPr>
      <w:r>
        <w:rPr>
          <w:rFonts w:hint="eastAsia" w:ascii="仿宋" w:hAnsi="仿宋" w:eastAsia="仿宋" w:cs="仿宋"/>
          <w:szCs w:val="24"/>
        </w:rPr>
        <w:t>要求投标的软件产品具有</w:t>
      </w:r>
      <w:r>
        <w:rPr>
          <w:rFonts w:hint="eastAsia" w:ascii="仿宋" w:hAnsi="仿宋" w:eastAsia="仿宋" w:cs="仿宋"/>
          <w:szCs w:val="24"/>
          <w:lang w:eastAsia="zh-Hans"/>
        </w:rPr>
        <w:t>办公自动化平台软件著作权登记证书</w:t>
      </w:r>
      <w:r>
        <w:rPr>
          <w:rFonts w:hint="eastAsia" w:ascii="仿宋" w:hAnsi="仿宋" w:eastAsia="仿宋" w:cs="仿宋"/>
          <w:szCs w:val="24"/>
        </w:rPr>
        <w:t>。</w:t>
      </w:r>
    </w:p>
    <w:p>
      <w:pPr>
        <w:pStyle w:val="4"/>
        <w:spacing w:line="560" w:lineRule="exact"/>
      </w:pPr>
      <w:bookmarkStart w:id="15" w:name="_Toc28955"/>
      <w:r>
        <w:rPr>
          <w:rFonts w:hint="eastAsia"/>
        </w:rPr>
        <w:t>承担本项目能力和资格的有关资格证明材料</w:t>
      </w:r>
      <w:bookmarkEnd w:id="15"/>
    </w:p>
    <w:p>
      <w:pPr>
        <w:pStyle w:val="58"/>
        <w:numPr>
          <w:ilvl w:val="0"/>
          <w:numId w:val="7"/>
        </w:numPr>
        <w:spacing w:line="560" w:lineRule="exact"/>
        <w:ind w:left="900" w:hanging="420" w:firstLineChars="0"/>
        <w:rPr>
          <w:rFonts w:ascii="仿宋" w:hAnsi="仿宋" w:eastAsia="仿宋" w:cs="仿宋"/>
          <w:szCs w:val="24"/>
        </w:rPr>
      </w:pPr>
      <w:r>
        <w:rPr>
          <w:rFonts w:hint="eastAsia" w:ascii="仿宋" w:hAnsi="仿宋" w:eastAsia="仿宋" w:cs="仿宋"/>
          <w:szCs w:val="24"/>
        </w:rPr>
        <w:t>由工商局签发的投标人工商营业执照副本复印件（加盖公章）。</w:t>
      </w:r>
    </w:p>
    <w:p>
      <w:pPr>
        <w:pStyle w:val="58"/>
        <w:numPr>
          <w:ilvl w:val="0"/>
          <w:numId w:val="7"/>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投标人各类资质证书材料复印件（加盖公章）。</w:t>
      </w:r>
    </w:p>
    <w:p>
      <w:pPr>
        <w:pStyle w:val="58"/>
        <w:numPr>
          <w:ilvl w:val="0"/>
          <w:numId w:val="7"/>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投标方需具备足够资质的产品技术开发队伍，本地人力配置充足、行业资源丰富，具有大型集团的办公软件开发的成熟案例和经验；产品比较成熟和较强扩展性，具备长期合作的可能。</w:t>
      </w:r>
    </w:p>
    <w:p>
      <w:pPr>
        <w:pStyle w:val="58"/>
        <w:numPr>
          <w:ilvl w:val="0"/>
          <w:numId w:val="7"/>
        </w:numPr>
        <w:spacing w:line="560" w:lineRule="exact"/>
        <w:ind w:left="900" w:hanging="420" w:firstLineChars="0"/>
        <w:rPr>
          <w:rFonts w:ascii="仿宋" w:hAnsi="仿宋" w:eastAsia="仿宋" w:cs="仿宋"/>
          <w:szCs w:val="24"/>
        </w:rPr>
      </w:pPr>
      <w:r>
        <w:rPr>
          <w:rFonts w:hint="eastAsia" w:ascii="仿宋" w:hAnsi="仿宋" w:eastAsia="仿宋" w:cs="仿宋"/>
          <w:szCs w:val="24"/>
        </w:rPr>
        <w:t>实施交付能力：投标方必须具备在厦门提供本地化实施开发项目和提供后续服务的能力，且提供必要的使用、配置、系统集成及二次开发培训等相应的知识转移服务。</w:t>
      </w:r>
    </w:p>
    <w:p>
      <w:pPr>
        <w:pStyle w:val="58"/>
        <w:numPr>
          <w:ilvl w:val="0"/>
          <w:numId w:val="7"/>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投标人需提供从事系统开发人员的规模，本次投标的产品投放市场的时间。</w:t>
      </w:r>
    </w:p>
    <w:p>
      <w:pPr>
        <w:pStyle w:val="58"/>
        <w:numPr>
          <w:ilvl w:val="0"/>
          <w:numId w:val="7"/>
        </w:numPr>
        <w:spacing w:line="560" w:lineRule="exact"/>
        <w:ind w:left="900" w:hanging="420" w:firstLineChars="0"/>
        <w:rPr>
          <w:rFonts w:ascii="仿宋" w:hAnsi="仿宋" w:eastAsia="仿宋" w:cs="仿宋"/>
          <w:szCs w:val="24"/>
        </w:rPr>
      </w:pPr>
      <w:r>
        <w:rPr>
          <w:rFonts w:hint="eastAsia" w:ascii="仿宋" w:hAnsi="仿宋" w:eastAsia="仿宋" w:cs="仿宋"/>
          <w:szCs w:val="24"/>
        </w:rPr>
        <w:t>如投标人协同办公系统有多种产品线，需注明本次投标所用的产品以及产品对应的典型案例客户。</w:t>
      </w:r>
    </w:p>
    <w:p>
      <w:pPr>
        <w:pStyle w:val="58"/>
        <w:numPr>
          <w:ilvl w:val="0"/>
          <w:numId w:val="7"/>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方必须由法定代表人或其委托代理人（具有法定代表人签署的授权书）携带身份证原件参加投标、开标仪式，在评标过程中随时接受评委就投标文件内容提出的质询，并予以解答。本项目不允许转包，投标方必须自己承建。</w:t>
      </w:r>
    </w:p>
    <w:p>
      <w:pPr>
        <w:pStyle w:val="3"/>
        <w:spacing w:line="560" w:lineRule="exact"/>
      </w:pPr>
      <w:bookmarkStart w:id="16" w:name="_Toc3382"/>
      <w:r>
        <w:rPr>
          <w:rFonts w:hint="eastAsia"/>
        </w:rPr>
        <w:t>投标文件的构成</w:t>
      </w:r>
      <w:bookmarkEnd w:id="16"/>
    </w:p>
    <w:p>
      <w:pPr>
        <w:spacing w:line="560" w:lineRule="exact"/>
        <w:ind w:firstLine="480"/>
        <w:rPr>
          <w:rFonts w:ascii="仿宋_GB2312" w:hAnsi="仿宋_GB2312" w:eastAsia="仿宋_GB2312" w:cs="仿宋_GB2312"/>
          <w:sz w:val="32"/>
          <w:szCs w:val="32"/>
        </w:rPr>
      </w:pPr>
      <w:r>
        <w:rPr>
          <w:rFonts w:hint="eastAsia" w:ascii="仿宋" w:hAnsi="仿宋" w:eastAsia="仿宋" w:cs="仿宋"/>
          <w:szCs w:val="24"/>
        </w:rPr>
        <w:t>投标文件应包括：商务标、技术标</w:t>
      </w:r>
      <w:r>
        <w:rPr>
          <w:rFonts w:hint="eastAsia" w:ascii="仿宋_GB2312" w:hAnsi="仿宋_GB2312" w:eastAsia="仿宋_GB2312" w:cs="仿宋_GB2312"/>
          <w:sz w:val="32"/>
          <w:szCs w:val="32"/>
        </w:rPr>
        <w:t>。</w:t>
      </w:r>
    </w:p>
    <w:p>
      <w:pPr>
        <w:pStyle w:val="4"/>
        <w:spacing w:line="560" w:lineRule="exact"/>
      </w:pPr>
      <w:bookmarkStart w:id="17" w:name="_Toc31351"/>
      <w:r>
        <w:rPr>
          <w:rFonts w:hint="eastAsia"/>
        </w:rPr>
        <w:t>商务标文件（包括但不限于下列主要内容）</w:t>
      </w:r>
      <w:bookmarkEnd w:id="17"/>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商务部分目录</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投标一览表（见格式一）</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投标商务报价明细表 （见格式二）</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法定代表人资格证明书（见格式三）</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法定代表人授权委托书（见格式四）</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投标单位的资质证明材料（见格式五）</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商务偏离表（见格式六）</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廉洁诚信承诺书（见格式七）</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售后服务承诺函（见格式八）</w:t>
      </w:r>
    </w:p>
    <w:p>
      <w:pPr>
        <w:pStyle w:val="58"/>
        <w:numPr>
          <w:ilvl w:val="0"/>
          <w:numId w:val="8"/>
        </w:numPr>
        <w:spacing w:line="560" w:lineRule="exact"/>
        <w:ind w:left="900" w:hanging="420" w:firstLineChars="0"/>
        <w:rPr>
          <w:rFonts w:ascii="仿宋" w:hAnsi="仿宋" w:eastAsia="仿宋" w:cs="仿宋"/>
          <w:szCs w:val="24"/>
        </w:rPr>
      </w:pPr>
      <w:r>
        <w:rPr>
          <w:rFonts w:hint="eastAsia" w:ascii="仿宋" w:hAnsi="仿宋" w:eastAsia="仿宋" w:cs="仿宋"/>
          <w:szCs w:val="24"/>
        </w:rPr>
        <w:t>其他特别要求或者必要的说明</w:t>
      </w:r>
    </w:p>
    <w:p>
      <w:pPr>
        <w:pStyle w:val="4"/>
        <w:spacing w:line="560" w:lineRule="exact"/>
      </w:pPr>
      <w:bookmarkStart w:id="18" w:name="_Toc17837"/>
      <w:r>
        <w:rPr>
          <w:rFonts w:hint="eastAsia"/>
        </w:rPr>
        <w:t>技术标文件（包括但不限于下列主要内容）</w:t>
      </w:r>
      <w:bookmarkEnd w:id="18"/>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技术标书目录</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技术规格偏离表（见格式九）</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项目技术解决方案</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请投标人在技术方案中陈述产品技术架构；同时描述该产品与其他相关系统集成的方案设计思路； 如何满足个性化二次开发需求等。</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项目实施方案</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项目实施策略以及实施计划；</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项目实施方法和交付内容；</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项目实施组织和职责分工。</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项目管理方案</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 xml:space="preserve">请投标人提供在项目实施过程中如何进行有效的项目管理，如：项目进度管理、质量管理、项目实施过程中面临的主要实施风险以及对应的控制方案等。 </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项目培训方案</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请投标人提供在项目实施过程中提供的主要培训内容、培训计划以及知识转移方案。</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售后服务与维护方案</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请投标人提供系统上线后的系统维护方案以及投标人可以提供的后续支持和服务方案。</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系统升级方案</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系统后续集成及二次开发升级如何保证。</w:t>
      </w:r>
    </w:p>
    <w:p>
      <w:pPr>
        <w:pStyle w:val="58"/>
        <w:numPr>
          <w:ilvl w:val="0"/>
          <w:numId w:val="9"/>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投标人认为其他需要提供的材料。</w:t>
      </w:r>
    </w:p>
    <w:p>
      <w:pPr>
        <w:pStyle w:val="3"/>
        <w:spacing w:line="560" w:lineRule="exact"/>
      </w:pPr>
      <w:bookmarkStart w:id="19" w:name="_Toc335848566"/>
      <w:bookmarkStart w:id="20" w:name="_Toc25614"/>
      <w:r>
        <w:rPr>
          <w:rFonts w:hint="eastAsia"/>
        </w:rPr>
        <w:t>投标文件书写及签名、盖章要求</w:t>
      </w:r>
      <w:bookmarkEnd w:id="19"/>
      <w:bookmarkEnd w:id="20"/>
    </w:p>
    <w:p>
      <w:pPr>
        <w:pStyle w:val="58"/>
        <w:numPr>
          <w:ilvl w:val="0"/>
          <w:numId w:val="11"/>
        </w:numPr>
        <w:spacing w:line="560" w:lineRule="exact"/>
        <w:ind w:left="900" w:hanging="420" w:firstLineChars="0"/>
        <w:rPr>
          <w:rFonts w:ascii="仿宋" w:hAnsi="仿宋" w:eastAsia="仿宋" w:cs="仿宋"/>
          <w:szCs w:val="24"/>
        </w:rPr>
      </w:pPr>
      <w:bookmarkStart w:id="21" w:name="_Toc184573098"/>
      <w:bookmarkStart w:id="22" w:name="_Toc184573429"/>
      <w:r>
        <w:rPr>
          <w:rFonts w:hint="eastAsia" w:ascii="仿宋" w:hAnsi="仿宋" w:eastAsia="仿宋" w:cs="仿宋"/>
          <w:szCs w:val="24"/>
        </w:rPr>
        <w:t>投标人应按招标文件的要求详细编制投标文件，保证投标文件的正确性和真实性，并对招标文件做出实质性响应，所有投标资料必须针对本次投标。</w:t>
      </w:r>
      <w:bookmarkEnd w:id="21"/>
      <w:bookmarkEnd w:id="22"/>
    </w:p>
    <w:p>
      <w:pPr>
        <w:pStyle w:val="58"/>
        <w:numPr>
          <w:ilvl w:val="0"/>
          <w:numId w:val="11"/>
        </w:numPr>
        <w:spacing w:line="560" w:lineRule="exact"/>
        <w:ind w:left="900" w:hanging="420" w:firstLineChars="0"/>
        <w:rPr>
          <w:rFonts w:ascii="仿宋" w:hAnsi="仿宋" w:eastAsia="仿宋" w:cs="仿宋"/>
          <w:szCs w:val="24"/>
        </w:rPr>
      </w:pPr>
      <w:bookmarkStart w:id="23" w:name="_Toc184573430"/>
      <w:bookmarkStart w:id="24" w:name="_Toc184573099"/>
      <w:r>
        <w:rPr>
          <w:rFonts w:hint="eastAsia" w:ascii="仿宋" w:hAnsi="仿宋" w:eastAsia="仿宋" w:cs="仿宋"/>
          <w:szCs w:val="24"/>
        </w:rPr>
        <w:t>投标人被视为充分熟悉本招标项目的各种情况以及与履行合同有关的一切其他情况；不按招标文件要求提供的投标文件，可能被拒绝接受，其后果由投标人自己负责。</w:t>
      </w:r>
      <w:bookmarkEnd w:id="23"/>
      <w:bookmarkEnd w:id="24"/>
    </w:p>
    <w:p>
      <w:pPr>
        <w:pStyle w:val="58"/>
        <w:numPr>
          <w:ilvl w:val="0"/>
          <w:numId w:val="11"/>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投标文件正本必须用不褪色的墨水工整书写或打印，否则其谈判无效。</w:t>
      </w:r>
    </w:p>
    <w:p>
      <w:pPr>
        <w:pStyle w:val="58"/>
        <w:numPr>
          <w:ilvl w:val="0"/>
          <w:numId w:val="11"/>
        </w:numPr>
        <w:spacing w:line="560" w:lineRule="exact"/>
        <w:ind w:left="900" w:hanging="420" w:firstLineChars="0"/>
        <w:rPr>
          <w:rFonts w:ascii="仿宋" w:hAnsi="仿宋" w:eastAsia="仿宋" w:cs="仿宋"/>
          <w:szCs w:val="24"/>
        </w:rPr>
      </w:pPr>
      <w:r>
        <w:rPr>
          <w:rFonts w:hint="eastAsia" w:ascii="仿宋" w:hAnsi="仿宋" w:eastAsia="仿宋" w:cs="仿宋"/>
          <w:szCs w:val="24"/>
        </w:rPr>
        <w:t>字迹潦草、表达不清或未按要求填写的招标文件可能将被认定为无效的谈判。</w:t>
      </w:r>
    </w:p>
    <w:p>
      <w:pPr>
        <w:pStyle w:val="58"/>
        <w:numPr>
          <w:ilvl w:val="0"/>
          <w:numId w:val="11"/>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投标文件应由法定代表人或委托代理人在凡规定签章处逐一签名和盖单位公章，否则其谈判无效。</w:t>
      </w:r>
    </w:p>
    <w:p>
      <w:pPr>
        <w:pStyle w:val="58"/>
        <w:numPr>
          <w:ilvl w:val="0"/>
          <w:numId w:val="11"/>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投标文件的份数：纸质投标文件两份（一正一副），电子技术标书一份。</w:t>
      </w:r>
    </w:p>
    <w:p>
      <w:pPr>
        <w:pStyle w:val="3"/>
        <w:spacing w:line="560" w:lineRule="exact"/>
        <w:rPr>
          <w:rFonts w:hAnsi="黑体" w:cs="黑体"/>
        </w:rPr>
      </w:pPr>
      <w:bookmarkStart w:id="25" w:name="_Toc7696"/>
      <w:r>
        <w:rPr>
          <w:rFonts w:hint="eastAsia" w:hAnsi="黑体" w:cs="黑体"/>
        </w:rPr>
        <w:t>投标有效期</w:t>
      </w:r>
      <w:bookmarkEnd w:id="25"/>
    </w:p>
    <w:p>
      <w:pPr>
        <w:pStyle w:val="58"/>
        <w:numPr>
          <w:ilvl w:val="0"/>
          <w:numId w:val="12"/>
        </w:numPr>
        <w:spacing w:line="560" w:lineRule="exact"/>
        <w:ind w:left="900" w:hanging="420" w:firstLineChars="0"/>
        <w:rPr>
          <w:rFonts w:ascii="仿宋" w:hAnsi="仿宋" w:eastAsia="仿宋" w:cs="仿宋"/>
          <w:szCs w:val="24"/>
        </w:rPr>
      </w:pPr>
      <w:bookmarkStart w:id="26" w:name="_Toc184573450"/>
      <w:bookmarkStart w:id="27" w:name="_Toc184573119"/>
      <w:r>
        <w:rPr>
          <w:rFonts w:hint="eastAsia" w:ascii="仿宋" w:hAnsi="仿宋" w:eastAsia="仿宋" w:cs="仿宋"/>
          <w:szCs w:val="24"/>
        </w:rPr>
        <w:t>投标有效期为90天，投标有效期以招标文件规定的提交投标文件截止之日起计算。</w:t>
      </w:r>
      <w:bookmarkEnd w:id="26"/>
      <w:bookmarkEnd w:id="27"/>
    </w:p>
    <w:p>
      <w:pPr>
        <w:pStyle w:val="58"/>
        <w:numPr>
          <w:ilvl w:val="0"/>
          <w:numId w:val="12"/>
        </w:numPr>
        <w:spacing w:line="560" w:lineRule="exact"/>
        <w:ind w:left="900" w:hanging="420" w:firstLineChars="0"/>
        <w:rPr>
          <w:rFonts w:ascii="仿宋" w:hAnsi="仿宋" w:eastAsia="仿宋" w:cs="仿宋"/>
          <w:szCs w:val="24"/>
        </w:rPr>
      </w:pPr>
      <w:bookmarkStart w:id="28" w:name="_Toc184573451"/>
      <w:bookmarkStart w:id="29" w:name="_Toc184573120"/>
      <w:r>
        <w:rPr>
          <w:rFonts w:hint="eastAsia" w:ascii="仿宋" w:hAnsi="仿宋" w:eastAsia="仿宋" w:cs="仿宋"/>
          <w:szCs w:val="24"/>
        </w:rPr>
        <w:t>在原投标有效期结束前，出现特殊情况的，招标人可以书面形式要求所有投标人延长投标有效期。</w:t>
      </w:r>
      <w:bookmarkEnd w:id="28"/>
      <w:bookmarkEnd w:id="29"/>
    </w:p>
    <w:p>
      <w:pPr>
        <w:pStyle w:val="3"/>
        <w:spacing w:line="560" w:lineRule="exact"/>
        <w:rPr>
          <w:rFonts w:hAnsi="黑体" w:cs="黑体"/>
        </w:rPr>
      </w:pPr>
      <w:bookmarkStart w:id="30" w:name="_Toc12553"/>
      <w:r>
        <w:rPr>
          <w:rFonts w:hint="eastAsia" w:hAnsi="黑体" w:cs="黑体"/>
        </w:rPr>
        <w:t>投标报价</w:t>
      </w:r>
      <w:bookmarkEnd w:id="30"/>
    </w:p>
    <w:p>
      <w:pPr>
        <w:pStyle w:val="58"/>
        <w:numPr>
          <w:ilvl w:val="0"/>
          <w:numId w:val="13"/>
        </w:numPr>
        <w:spacing w:line="560" w:lineRule="exact"/>
        <w:ind w:left="900" w:hanging="420" w:firstLineChars="0"/>
        <w:rPr>
          <w:rFonts w:ascii="仿宋" w:hAnsi="仿宋" w:eastAsia="仿宋" w:cs="仿宋"/>
          <w:szCs w:val="24"/>
        </w:rPr>
      </w:pPr>
      <w:bookmarkStart w:id="31" w:name="_Toc184573454"/>
      <w:bookmarkStart w:id="32" w:name="_Toc184573123"/>
      <w:r>
        <w:rPr>
          <w:rFonts w:hint="eastAsia" w:ascii="仿宋" w:hAnsi="仿宋" w:eastAsia="仿宋" w:cs="仿宋"/>
          <w:szCs w:val="24"/>
        </w:rPr>
        <w:t>投标人根据本项目的招标范围及要求进行报价。投标总报价应包括承诺为完成本次招标项目所发生的软件和实施服务等所有费用。投标人的投标报价应是固定价，而非浮动价。</w:t>
      </w:r>
      <w:bookmarkEnd w:id="31"/>
      <w:bookmarkEnd w:id="32"/>
      <w:bookmarkStart w:id="33" w:name="_Toc184573455"/>
      <w:bookmarkStart w:id="34" w:name="_Toc184573124"/>
    </w:p>
    <w:p>
      <w:pPr>
        <w:pStyle w:val="58"/>
        <w:numPr>
          <w:ilvl w:val="0"/>
          <w:numId w:val="13"/>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投标价格以人民币报价，投标人必须按招标文件指定格式正确填写各种价格单，价格单中相应内容的报价必须计算正确。</w:t>
      </w:r>
      <w:bookmarkEnd w:id="33"/>
      <w:bookmarkEnd w:id="34"/>
    </w:p>
    <w:p>
      <w:pPr>
        <w:pStyle w:val="58"/>
        <w:numPr>
          <w:ilvl w:val="0"/>
          <w:numId w:val="13"/>
        </w:numPr>
        <w:spacing w:line="560" w:lineRule="exact"/>
        <w:ind w:left="900" w:hanging="420" w:firstLineChars="0"/>
        <w:rPr>
          <w:rFonts w:ascii="仿宋" w:hAnsi="仿宋" w:eastAsia="仿宋" w:cs="仿宋"/>
          <w:szCs w:val="24"/>
        </w:rPr>
      </w:pPr>
      <w:bookmarkStart w:id="35" w:name="_Toc184573460"/>
      <w:bookmarkStart w:id="36" w:name="_Toc184573129"/>
      <w:r>
        <w:rPr>
          <w:rFonts w:hint="eastAsia" w:ascii="仿宋" w:hAnsi="仿宋" w:eastAsia="仿宋" w:cs="仿宋"/>
          <w:szCs w:val="24"/>
        </w:rPr>
        <w:t>所有报价均应已包含国家规定的所有税费。</w:t>
      </w:r>
      <w:bookmarkEnd w:id="35"/>
      <w:bookmarkEnd w:id="36"/>
    </w:p>
    <w:p>
      <w:pPr>
        <w:pStyle w:val="58"/>
        <w:numPr>
          <w:ilvl w:val="0"/>
          <w:numId w:val="13"/>
        </w:numPr>
        <w:spacing w:line="560" w:lineRule="exact"/>
        <w:ind w:left="900" w:hanging="420" w:firstLineChars="0"/>
        <w:rPr>
          <w:rFonts w:ascii="仿宋" w:hAnsi="仿宋" w:eastAsia="仿宋" w:cs="仿宋"/>
          <w:szCs w:val="24"/>
        </w:rPr>
      </w:pPr>
      <w:bookmarkStart w:id="37" w:name="_Toc184573131"/>
      <w:bookmarkStart w:id="38" w:name="_Toc184573462"/>
      <w:r>
        <w:rPr>
          <w:rFonts w:hint="eastAsia" w:ascii="仿宋" w:hAnsi="仿宋" w:eastAsia="仿宋" w:cs="仿宋"/>
          <w:szCs w:val="24"/>
        </w:rPr>
        <w:t>投标人的投标报价应合理适中，不得以低于成本的报价进行恶性竞争，最低投标报价不是中标的必须条件。</w:t>
      </w:r>
      <w:bookmarkEnd w:id="37"/>
      <w:bookmarkEnd w:id="38"/>
    </w:p>
    <w:p>
      <w:pPr>
        <w:pStyle w:val="58"/>
        <w:numPr>
          <w:ilvl w:val="0"/>
          <w:numId w:val="13"/>
        </w:numPr>
        <w:spacing w:line="560" w:lineRule="exact"/>
        <w:ind w:left="900" w:hanging="420" w:firstLineChars="0"/>
        <w:rPr>
          <w:rFonts w:ascii="仿宋_GB2312" w:hAnsi="仿宋_GB2312" w:eastAsia="仿宋_GB2312" w:cs="仿宋_GB2312"/>
          <w:sz w:val="24"/>
          <w:szCs w:val="24"/>
        </w:rPr>
      </w:pPr>
      <w:r>
        <w:rPr>
          <w:rFonts w:hint="eastAsia" w:ascii="仿宋" w:hAnsi="仿宋" w:eastAsia="仿宋" w:cs="仿宋"/>
          <w:szCs w:val="24"/>
        </w:rPr>
        <w:t>系统用户数请按PC端</w:t>
      </w:r>
      <w:r>
        <w:rPr>
          <w:rFonts w:hint="eastAsia" w:ascii="仿宋" w:hAnsi="仿宋" w:eastAsia="仿宋" w:cs="仿宋"/>
          <w:szCs w:val="24"/>
          <w:u w:val="single"/>
        </w:rPr>
        <w:t>2500</w:t>
      </w:r>
      <w:r>
        <w:rPr>
          <w:rFonts w:hint="eastAsia" w:ascii="仿宋" w:hAnsi="仿宋" w:eastAsia="仿宋" w:cs="仿宋"/>
          <w:szCs w:val="24"/>
        </w:rPr>
        <w:t>个注册用户，移动端</w:t>
      </w:r>
      <w:r>
        <w:rPr>
          <w:rFonts w:hint="eastAsia" w:ascii="仿宋" w:hAnsi="仿宋" w:eastAsia="仿宋" w:cs="仿宋"/>
          <w:szCs w:val="24"/>
          <w:u w:val="single"/>
        </w:rPr>
        <w:t>2500</w:t>
      </w:r>
      <w:r>
        <w:rPr>
          <w:rFonts w:hint="eastAsia" w:ascii="仿宋" w:hAnsi="仿宋" w:eastAsia="仿宋" w:cs="仿宋"/>
          <w:szCs w:val="24"/>
        </w:rPr>
        <w:t>个注册用户，150条流程实施搭建进行核算价格。</w:t>
      </w:r>
    </w:p>
    <w:p>
      <w:pPr>
        <w:pStyle w:val="3"/>
        <w:spacing w:line="560" w:lineRule="exact"/>
        <w:rPr>
          <w:rFonts w:hAnsi="黑体" w:cs="黑体"/>
        </w:rPr>
      </w:pPr>
      <w:bookmarkStart w:id="39" w:name="_Toc29648"/>
      <w:r>
        <w:rPr>
          <w:rFonts w:hint="eastAsia" w:hAnsi="黑体" w:cs="黑体"/>
        </w:rPr>
        <w:t>投标文件的递交</w:t>
      </w:r>
      <w:bookmarkEnd w:id="39"/>
    </w:p>
    <w:p>
      <w:pPr>
        <w:pStyle w:val="58"/>
        <w:numPr>
          <w:ilvl w:val="0"/>
          <w:numId w:val="14"/>
        </w:numPr>
        <w:spacing w:line="560" w:lineRule="exact"/>
        <w:ind w:left="900" w:hanging="420" w:firstLineChars="0"/>
        <w:rPr>
          <w:rFonts w:ascii="仿宋" w:hAnsi="仿宋" w:eastAsia="仿宋" w:cs="仿宋"/>
          <w:szCs w:val="24"/>
        </w:rPr>
      </w:pPr>
      <w:bookmarkStart w:id="40" w:name="_Toc184573471"/>
      <w:bookmarkStart w:id="41" w:name="_Toc184573140"/>
      <w:r>
        <w:rPr>
          <w:rFonts w:hint="eastAsia" w:ascii="仿宋" w:hAnsi="仿宋" w:eastAsia="仿宋" w:cs="仿宋"/>
          <w:szCs w:val="24"/>
        </w:rPr>
        <w:t>投标书文件必须在规定的投标截止时间前派人送达指定的投标地点，逾期送达的或未送达指定地点的投标文件，投标人将不予受理。</w:t>
      </w:r>
      <w:bookmarkEnd w:id="40"/>
      <w:bookmarkEnd w:id="41"/>
    </w:p>
    <w:p>
      <w:pPr>
        <w:pStyle w:val="58"/>
        <w:numPr>
          <w:ilvl w:val="0"/>
          <w:numId w:val="14"/>
        </w:numPr>
        <w:spacing w:line="560" w:lineRule="exact"/>
        <w:ind w:left="900" w:hanging="420" w:firstLineChars="0"/>
        <w:rPr>
          <w:rFonts w:ascii="仿宋" w:hAnsi="仿宋" w:eastAsia="仿宋" w:cs="仿宋"/>
          <w:szCs w:val="24"/>
        </w:rPr>
      </w:pPr>
      <w:bookmarkStart w:id="42" w:name="_Toc184573141"/>
      <w:bookmarkStart w:id="43" w:name="_Toc184573472"/>
      <w:r>
        <w:rPr>
          <w:rFonts w:hint="eastAsia" w:ascii="仿宋" w:hAnsi="仿宋" w:eastAsia="仿宋" w:cs="仿宋"/>
          <w:szCs w:val="24"/>
        </w:rPr>
        <w:t>在招标人以书面补充或修改文件的形式推迟投标截止时间的情况下，招标人和投标人的权利和义务都以新的截止时间为准。</w:t>
      </w:r>
      <w:bookmarkEnd w:id="42"/>
      <w:bookmarkEnd w:id="43"/>
    </w:p>
    <w:p>
      <w:pPr>
        <w:pStyle w:val="58"/>
        <w:numPr>
          <w:ilvl w:val="0"/>
          <w:numId w:val="14"/>
        </w:numPr>
        <w:spacing w:line="560" w:lineRule="exact"/>
        <w:ind w:left="900" w:hanging="420" w:firstLineChars="0"/>
        <w:rPr>
          <w:rFonts w:ascii="仿宋" w:hAnsi="仿宋" w:eastAsia="仿宋" w:cs="仿宋"/>
          <w:szCs w:val="24"/>
        </w:rPr>
      </w:pPr>
      <w:r>
        <w:rPr>
          <w:rFonts w:hint="eastAsia" w:ascii="仿宋" w:hAnsi="仿宋" w:eastAsia="仿宋" w:cs="仿宋"/>
          <w:szCs w:val="24"/>
        </w:rPr>
        <w:t>投标文件的密封与标记</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投标方应将商务招标文件装订好，在每个文本封面上标明“投标文件正本（副本）”，以及项目名称、项目编号、投标方名称等内容。</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投标方应将商务投标文件（一正一副）一并装入投标文件袋中加以密封；并在封口处密封签章（公章）。</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 xml:space="preserve">招标文件袋上应写明： </w:t>
      </w:r>
    </w:p>
    <w:p>
      <w:pPr>
        <w:pStyle w:val="58"/>
        <w:spacing w:line="560" w:lineRule="exact"/>
        <w:ind w:left="1271" w:firstLine="0" w:firstLineChars="0"/>
        <w:rPr>
          <w:rFonts w:ascii="仿宋" w:hAnsi="仿宋" w:eastAsia="仿宋" w:cs="仿宋"/>
          <w:szCs w:val="24"/>
        </w:rPr>
      </w:pPr>
      <w:r>
        <w:rPr>
          <w:rFonts w:hint="eastAsia" w:ascii="仿宋" w:hAnsi="仿宋" w:eastAsia="仿宋" w:cs="仿宋"/>
          <w:szCs w:val="24"/>
        </w:rPr>
        <w:t>招标公司：厦门开元数字科技有限公司</w:t>
      </w:r>
    </w:p>
    <w:p>
      <w:pPr>
        <w:pStyle w:val="58"/>
        <w:spacing w:line="560" w:lineRule="exact"/>
        <w:ind w:left="1271" w:firstLine="0" w:firstLineChars="0"/>
        <w:rPr>
          <w:rFonts w:ascii="仿宋" w:hAnsi="仿宋" w:eastAsia="仿宋" w:cs="仿宋"/>
          <w:szCs w:val="24"/>
        </w:rPr>
      </w:pPr>
      <w:r>
        <w:rPr>
          <w:rFonts w:hint="eastAsia" w:ascii="仿宋" w:hAnsi="仿宋" w:eastAsia="仿宋" w:cs="仿宋"/>
          <w:szCs w:val="24"/>
        </w:rPr>
        <w:t>项目名称：思明控股统一协同办公系统</w:t>
      </w:r>
    </w:p>
    <w:p>
      <w:pPr>
        <w:pStyle w:val="58"/>
        <w:spacing w:line="560" w:lineRule="exact"/>
        <w:ind w:left="1271" w:firstLine="0" w:firstLineChars="0"/>
        <w:rPr>
          <w:rFonts w:ascii="仿宋" w:hAnsi="仿宋" w:eastAsia="仿宋" w:cs="仿宋"/>
          <w:szCs w:val="24"/>
        </w:rPr>
      </w:pPr>
      <w:r>
        <w:rPr>
          <w:rFonts w:hint="eastAsia" w:ascii="仿宋" w:hAnsi="仿宋" w:eastAsia="仿宋" w:cs="仿宋"/>
          <w:szCs w:val="24"/>
        </w:rPr>
        <w:t>注明：“文件递交截止时间才能启封”</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投标文件的密封以投标文件袋无明显缝隙露出袋内文件且封口处有签字或盖章为合格。</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投标方在递交招标文件时，未按本须知要求密封、标记的，招标公司有权拒收，拒收所产生的后果由投标方自负。</w:t>
      </w:r>
    </w:p>
    <w:p>
      <w:pPr>
        <w:pStyle w:val="58"/>
        <w:spacing w:line="560" w:lineRule="exact"/>
        <w:ind w:left="480" w:firstLine="0" w:firstLineChars="0"/>
        <w:rPr>
          <w:rFonts w:ascii="仿宋" w:hAnsi="仿宋" w:eastAsia="仿宋" w:cs="仿宋"/>
          <w:szCs w:val="24"/>
        </w:rPr>
      </w:pPr>
      <w:r>
        <w:rPr>
          <w:rFonts w:hint="eastAsia" w:ascii="仿宋" w:hAnsi="仿宋" w:eastAsia="仿宋" w:cs="仿宋"/>
          <w:szCs w:val="24"/>
        </w:rPr>
        <w:t>（4）投标截止时间</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投标文件的递交不得迟于本须知前附表规定的截止时间，即2022年8月2</w:t>
      </w:r>
      <w:r>
        <w:rPr>
          <w:rFonts w:hint="eastAsia" w:ascii="仿宋" w:hAnsi="仿宋" w:eastAsia="仿宋" w:cs="仿宋"/>
          <w:szCs w:val="24"/>
          <w:lang w:val="en-US" w:eastAsia="zh-CN"/>
        </w:rPr>
        <w:t>3</w:t>
      </w:r>
      <w:r>
        <w:rPr>
          <w:rFonts w:hint="eastAsia" w:ascii="仿宋" w:hAnsi="仿宋" w:eastAsia="仿宋" w:cs="仿宋"/>
          <w:szCs w:val="24"/>
        </w:rPr>
        <w:t>日9时</w:t>
      </w:r>
      <w:r>
        <w:rPr>
          <w:rFonts w:hint="eastAsia" w:ascii="仿宋" w:hAnsi="仿宋" w:eastAsia="仿宋" w:cs="仿宋"/>
          <w:szCs w:val="24"/>
          <w:lang w:val="en-US" w:eastAsia="zh-CN"/>
        </w:rPr>
        <w:t>30分</w:t>
      </w:r>
      <w:r>
        <w:rPr>
          <w:rFonts w:hint="eastAsia" w:ascii="仿宋" w:hAnsi="仿宋" w:eastAsia="仿宋" w:cs="仿宋"/>
          <w:szCs w:val="24"/>
        </w:rPr>
        <w:t>。</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投标方必须在规定时间内将投标文件送到本须知前附表规定地点，即2022年8月2</w:t>
      </w:r>
      <w:r>
        <w:rPr>
          <w:rFonts w:hint="eastAsia" w:ascii="仿宋" w:hAnsi="仿宋" w:eastAsia="仿宋" w:cs="仿宋"/>
          <w:szCs w:val="24"/>
          <w:lang w:val="en-US" w:eastAsia="zh-CN"/>
        </w:rPr>
        <w:t>3</w:t>
      </w:r>
      <w:r>
        <w:rPr>
          <w:rFonts w:hint="eastAsia" w:ascii="仿宋" w:hAnsi="仿宋" w:eastAsia="仿宋" w:cs="仿宋"/>
          <w:szCs w:val="24"/>
        </w:rPr>
        <w:t>日9时</w:t>
      </w:r>
      <w:r>
        <w:rPr>
          <w:rFonts w:hint="eastAsia" w:ascii="仿宋" w:hAnsi="仿宋" w:eastAsia="仿宋" w:cs="仿宋"/>
          <w:szCs w:val="24"/>
          <w:lang w:val="en-US" w:eastAsia="zh-CN"/>
        </w:rPr>
        <w:t>30分</w:t>
      </w:r>
      <w:r>
        <w:rPr>
          <w:rFonts w:hint="eastAsia" w:ascii="仿宋" w:hAnsi="仿宋" w:eastAsia="仿宋" w:cs="仿宋"/>
          <w:szCs w:val="24"/>
        </w:rPr>
        <w:t>，厦门市思明区台东路68号18层1</w:t>
      </w:r>
      <w:r>
        <w:rPr>
          <w:rFonts w:ascii="仿宋" w:hAnsi="仿宋" w:eastAsia="仿宋" w:cs="仿宋"/>
          <w:szCs w:val="24"/>
        </w:rPr>
        <w:t>801</w:t>
      </w:r>
      <w:r>
        <w:rPr>
          <w:rFonts w:hint="eastAsia" w:ascii="仿宋" w:hAnsi="仿宋" w:eastAsia="仿宋" w:cs="仿宋"/>
          <w:szCs w:val="24"/>
        </w:rPr>
        <w:t>单元，超过投标截止时间送达的投标文件为无效文件，招标公司将拒收。</w:t>
      </w:r>
    </w:p>
    <w:p>
      <w:pPr>
        <w:pStyle w:val="3"/>
        <w:spacing w:line="560" w:lineRule="exact"/>
        <w:rPr>
          <w:rFonts w:hAnsi="黑体" w:cs="黑体"/>
        </w:rPr>
      </w:pPr>
      <w:bookmarkStart w:id="44" w:name="_Toc15450"/>
      <w:r>
        <w:rPr>
          <w:rFonts w:hint="eastAsia" w:hAnsi="黑体" w:cs="黑体"/>
        </w:rPr>
        <w:t>开标和评标</w:t>
      </w:r>
      <w:bookmarkEnd w:id="44"/>
    </w:p>
    <w:p>
      <w:pPr>
        <w:pStyle w:val="58"/>
        <w:numPr>
          <w:ilvl w:val="0"/>
          <w:numId w:val="15"/>
        </w:numPr>
        <w:spacing w:line="560" w:lineRule="exact"/>
        <w:ind w:firstLineChars="0"/>
        <w:rPr>
          <w:rFonts w:ascii="仿宋" w:hAnsi="仿宋" w:eastAsia="仿宋" w:cs="仿宋"/>
          <w:szCs w:val="24"/>
        </w:rPr>
      </w:pPr>
      <w:r>
        <w:rPr>
          <w:rFonts w:hint="eastAsia" w:ascii="仿宋" w:hAnsi="仿宋" w:eastAsia="仿宋" w:cs="仿宋"/>
          <w:szCs w:val="24"/>
        </w:rPr>
        <w:t>开标时间:  2022年8月22日9时</w:t>
      </w:r>
      <w:r>
        <w:rPr>
          <w:rFonts w:hint="eastAsia" w:ascii="仿宋" w:hAnsi="仿宋" w:eastAsia="仿宋" w:cs="仿宋"/>
          <w:szCs w:val="24"/>
          <w:lang w:val="en-US" w:eastAsia="zh-CN"/>
        </w:rPr>
        <w:t>30分</w:t>
      </w:r>
      <w:bookmarkStart w:id="235" w:name="_GoBack"/>
      <w:bookmarkEnd w:id="235"/>
      <w:r>
        <w:rPr>
          <w:rFonts w:hint="eastAsia" w:ascii="仿宋" w:hAnsi="仿宋" w:eastAsia="仿宋" w:cs="仿宋"/>
          <w:szCs w:val="24"/>
        </w:rPr>
        <w:t>。</w:t>
      </w:r>
    </w:p>
    <w:p>
      <w:pPr>
        <w:pStyle w:val="58"/>
        <w:numPr>
          <w:ilvl w:val="0"/>
          <w:numId w:val="15"/>
        </w:numPr>
        <w:spacing w:line="560" w:lineRule="exact"/>
        <w:ind w:firstLineChars="0"/>
        <w:rPr>
          <w:rFonts w:ascii="仿宋" w:hAnsi="仿宋" w:eastAsia="仿宋" w:cs="仿宋"/>
          <w:szCs w:val="24"/>
        </w:rPr>
      </w:pPr>
      <w:r>
        <w:rPr>
          <w:rFonts w:hint="eastAsia" w:ascii="仿宋" w:hAnsi="仿宋" w:eastAsia="仿宋" w:cs="仿宋"/>
          <w:szCs w:val="24"/>
        </w:rPr>
        <w:t>开标地址：厦门市思明区台东路68号18层1801单元。</w:t>
      </w:r>
    </w:p>
    <w:p>
      <w:pPr>
        <w:pStyle w:val="58"/>
        <w:numPr>
          <w:ilvl w:val="0"/>
          <w:numId w:val="15"/>
        </w:numPr>
        <w:spacing w:line="560" w:lineRule="exact"/>
        <w:ind w:firstLineChars="0"/>
        <w:rPr>
          <w:rFonts w:ascii="仿宋" w:hAnsi="仿宋" w:eastAsia="仿宋" w:cs="仿宋"/>
          <w:szCs w:val="24"/>
        </w:rPr>
      </w:pPr>
      <w:r>
        <w:rPr>
          <w:rFonts w:hint="eastAsia" w:ascii="仿宋" w:hAnsi="仿宋" w:eastAsia="仿宋" w:cs="仿宋"/>
          <w:szCs w:val="24"/>
        </w:rPr>
        <w:t>招标人将组织评标委员会审查“投标文件”是否完整；是否有计算错误；文件是否恰当地签署。如果单价与总价有出入，以单价为准；若文字大写表示的数据与数字表示的有差别，则以文字大写表示的数据为准。若投标方拒绝接受上述修正，其投标将被拒绝。</w:t>
      </w:r>
    </w:p>
    <w:p>
      <w:pPr>
        <w:pStyle w:val="58"/>
        <w:numPr>
          <w:ilvl w:val="0"/>
          <w:numId w:val="15"/>
        </w:numPr>
        <w:spacing w:line="560" w:lineRule="exact"/>
        <w:ind w:firstLineChars="0"/>
        <w:rPr>
          <w:rFonts w:ascii="仿宋" w:hAnsi="仿宋" w:eastAsia="仿宋" w:cs="仿宋"/>
          <w:szCs w:val="24"/>
        </w:rPr>
      </w:pPr>
      <w:r>
        <w:rPr>
          <w:rFonts w:hint="eastAsia" w:ascii="仿宋" w:hAnsi="仿宋" w:eastAsia="仿宋" w:cs="仿宋"/>
          <w:szCs w:val="24"/>
        </w:rPr>
        <w:t>招标人不向落标方解释落标原因，不退还投标文件，不保证最低价中标。</w:t>
      </w:r>
    </w:p>
    <w:p>
      <w:pPr>
        <w:pStyle w:val="58"/>
        <w:numPr>
          <w:ilvl w:val="0"/>
          <w:numId w:val="15"/>
        </w:numPr>
        <w:spacing w:line="560" w:lineRule="exact"/>
        <w:ind w:firstLineChars="0"/>
        <w:rPr>
          <w:rFonts w:ascii="仿宋" w:hAnsi="仿宋" w:eastAsia="仿宋" w:cs="仿宋"/>
          <w:szCs w:val="24"/>
        </w:rPr>
      </w:pPr>
      <w:r>
        <w:rPr>
          <w:rFonts w:hint="eastAsia" w:ascii="仿宋" w:hAnsi="仿宋" w:eastAsia="仿宋" w:cs="仿宋"/>
          <w:szCs w:val="24"/>
        </w:rPr>
        <w:t>关于本项目评标方式采用综合评判法，若投标人不足3个则流标，招标人择期重新发布招标公告重新招标，若连续流标2次，招标人可直接从投标人当中选择一个进行直接采购。</w:t>
      </w:r>
    </w:p>
    <w:p>
      <w:pPr>
        <w:pStyle w:val="58"/>
        <w:numPr>
          <w:ilvl w:val="0"/>
          <w:numId w:val="15"/>
        </w:numPr>
        <w:spacing w:line="560" w:lineRule="exact"/>
        <w:ind w:firstLineChars="0"/>
        <w:rPr>
          <w:rFonts w:ascii="仿宋" w:hAnsi="仿宋" w:eastAsia="仿宋" w:cs="仿宋"/>
          <w:szCs w:val="24"/>
        </w:rPr>
      </w:pPr>
      <w:r>
        <w:rPr>
          <w:rFonts w:hint="eastAsia" w:ascii="仿宋" w:hAnsi="仿宋" w:eastAsia="仿宋" w:cs="仿宋"/>
          <w:szCs w:val="24"/>
        </w:rPr>
        <w:t>关于本项目的综合评判，拟由商务部分和技术部分组成，进行严格的选型工作。</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评分标准如下：根据价格和服务条款进行评判（详细参考第十部分）。</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总得分＝商务部分（30%）＋技术部分(70%)。</w:t>
      </w:r>
    </w:p>
    <w:p>
      <w:pPr>
        <w:pStyle w:val="58"/>
        <w:spacing w:line="560" w:lineRule="exact"/>
        <w:ind w:left="480" w:leftChars="200" w:firstLine="0" w:firstLineChars="0"/>
        <w:rPr>
          <w:rFonts w:ascii="仿宋" w:hAnsi="仿宋" w:eastAsia="仿宋" w:cs="仿宋"/>
          <w:szCs w:val="24"/>
        </w:rPr>
      </w:pPr>
      <w:r>
        <w:rPr>
          <w:rFonts w:hint="eastAsia" w:ascii="仿宋" w:hAnsi="仿宋" w:eastAsia="仿宋" w:cs="仿宋"/>
          <w:szCs w:val="24"/>
        </w:rPr>
        <w:t>（7）无效的招标文件</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招标文件如有下列情况之一,将会在评审中按照无效文件处理</w:t>
      </w:r>
    </w:p>
    <w:p>
      <w:pPr>
        <w:pStyle w:val="58"/>
        <w:numPr>
          <w:ilvl w:val="1"/>
          <w:numId w:val="16"/>
        </w:numPr>
        <w:spacing w:line="560" w:lineRule="exact"/>
        <w:ind w:firstLineChars="0"/>
        <w:rPr>
          <w:rFonts w:ascii="仿宋" w:hAnsi="仿宋" w:eastAsia="仿宋" w:cs="仿宋"/>
          <w:szCs w:val="24"/>
        </w:rPr>
      </w:pPr>
      <w:r>
        <w:rPr>
          <w:rFonts w:hint="eastAsia" w:ascii="仿宋" w:hAnsi="仿宋" w:eastAsia="仿宋" w:cs="仿宋"/>
          <w:szCs w:val="24"/>
        </w:rPr>
        <w:t>未按照招标条件书规定要求密封、签署、盖章的；</w:t>
      </w:r>
    </w:p>
    <w:p>
      <w:pPr>
        <w:pStyle w:val="58"/>
        <w:numPr>
          <w:ilvl w:val="1"/>
          <w:numId w:val="16"/>
        </w:numPr>
        <w:spacing w:line="560" w:lineRule="exact"/>
        <w:ind w:firstLineChars="0"/>
        <w:rPr>
          <w:rFonts w:ascii="仿宋" w:hAnsi="仿宋" w:eastAsia="仿宋" w:cs="仿宋"/>
          <w:szCs w:val="24"/>
        </w:rPr>
      </w:pPr>
      <w:r>
        <w:rPr>
          <w:rFonts w:hint="eastAsia" w:ascii="仿宋" w:hAnsi="仿宋" w:eastAsia="仿宋" w:cs="仿宋"/>
          <w:szCs w:val="24"/>
        </w:rPr>
        <w:t>不具备招标条件书中规定资格要求的；</w:t>
      </w:r>
    </w:p>
    <w:p>
      <w:pPr>
        <w:pStyle w:val="58"/>
        <w:numPr>
          <w:ilvl w:val="1"/>
          <w:numId w:val="16"/>
        </w:numPr>
        <w:spacing w:line="560" w:lineRule="exact"/>
        <w:ind w:firstLineChars="0"/>
        <w:rPr>
          <w:rFonts w:ascii="仿宋" w:hAnsi="仿宋" w:eastAsia="仿宋" w:cs="仿宋"/>
          <w:szCs w:val="24"/>
        </w:rPr>
      </w:pPr>
      <w:r>
        <w:rPr>
          <w:rFonts w:hint="eastAsia" w:ascii="仿宋" w:hAnsi="仿宋" w:eastAsia="仿宋" w:cs="仿宋"/>
          <w:szCs w:val="24"/>
        </w:rPr>
        <w:t>不符合法律、法规的；</w:t>
      </w:r>
    </w:p>
    <w:p>
      <w:pPr>
        <w:pStyle w:val="58"/>
        <w:numPr>
          <w:ilvl w:val="1"/>
          <w:numId w:val="16"/>
        </w:numPr>
        <w:spacing w:line="560" w:lineRule="exact"/>
        <w:ind w:firstLineChars="0"/>
        <w:rPr>
          <w:rFonts w:ascii="仿宋" w:hAnsi="仿宋" w:eastAsia="仿宋" w:cs="仿宋"/>
          <w:szCs w:val="24"/>
        </w:rPr>
      </w:pPr>
      <w:r>
        <w:rPr>
          <w:rFonts w:hint="eastAsia" w:ascii="仿宋" w:hAnsi="仿宋" w:eastAsia="仿宋" w:cs="仿宋"/>
          <w:szCs w:val="24"/>
        </w:rPr>
        <w:t>不符合招标条件书中规定的实质性要求并且在投标规定的时间内无法说明和补充的。</w:t>
      </w:r>
    </w:p>
    <w:p>
      <w:pPr>
        <w:pStyle w:val="58"/>
        <w:spacing w:line="560" w:lineRule="exact"/>
        <w:ind w:left="480" w:leftChars="200" w:firstLine="0" w:firstLineChars="0"/>
        <w:rPr>
          <w:rFonts w:ascii="仿宋" w:hAnsi="仿宋" w:eastAsia="仿宋" w:cs="仿宋"/>
          <w:szCs w:val="24"/>
        </w:rPr>
      </w:pPr>
      <w:r>
        <w:rPr>
          <w:rFonts w:hint="eastAsia" w:ascii="仿宋" w:hAnsi="仿宋" w:eastAsia="仿宋" w:cs="仿宋"/>
          <w:szCs w:val="24"/>
        </w:rPr>
        <w:t>（8）投标活动终止</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投标项目出现下列情形之一的，招标公司将对已进行的投标活动予以终止</w:t>
      </w:r>
    </w:p>
    <w:p>
      <w:pPr>
        <w:pStyle w:val="58"/>
        <w:numPr>
          <w:ilvl w:val="1"/>
          <w:numId w:val="16"/>
        </w:numPr>
        <w:spacing w:line="560" w:lineRule="exact"/>
        <w:ind w:firstLineChars="0"/>
        <w:rPr>
          <w:rFonts w:ascii="仿宋" w:hAnsi="仿宋" w:eastAsia="仿宋" w:cs="仿宋"/>
          <w:szCs w:val="24"/>
        </w:rPr>
      </w:pPr>
      <w:r>
        <w:rPr>
          <w:rFonts w:hint="eastAsia" w:ascii="仿宋" w:hAnsi="仿宋" w:eastAsia="仿宋" w:cs="仿宋"/>
          <w:szCs w:val="24"/>
        </w:rPr>
        <w:t>出现影响公正的违法、违规行为的；</w:t>
      </w:r>
    </w:p>
    <w:p>
      <w:pPr>
        <w:pStyle w:val="58"/>
        <w:numPr>
          <w:ilvl w:val="1"/>
          <w:numId w:val="16"/>
        </w:numPr>
        <w:spacing w:line="560" w:lineRule="exact"/>
        <w:ind w:firstLineChars="0"/>
        <w:rPr>
          <w:rFonts w:ascii="仿宋" w:hAnsi="仿宋" w:eastAsia="仿宋" w:cs="仿宋"/>
          <w:szCs w:val="24"/>
        </w:rPr>
      </w:pPr>
      <w:r>
        <w:rPr>
          <w:rFonts w:hint="eastAsia" w:ascii="仿宋" w:hAnsi="仿宋" w:eastAsia="仿宋" w:cs="仿宋"/>
          <w:szCs w:val="24"/>
        </w:rPr>
        <w:t>因重大变故，项目任务取消的。</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投标活动终止后，招标公司将把投标活动终止理由通知所有投标方。</w:t>
      </w:r>
    </w:p>
    <w:p>
      <w:pPr>
        <w:pStyle w:val="3"/>
        <w:spacing w:line="560" w:lineRule="exact"/>
        <w:rPr>
          <w:rFonts w:hAnsi="黑体" w:cs="黑体"/>
        </w:rPr>
      </w:pPr>
      <w:bookmarkStart w:id="45" w:name="_Toc25679"/>
      <w:r>
        <w:rPr>
          <w:rFonts w:hint="eastAsia" w:hAnsi="黑体" w:cs="黑体"/>
        </w:rPr>
        <w:t>授予合同</w:t>
      </w:r>
      <w:bookmarkEnd w:id="45"/>
    </w:p>
    <w:p>
      <w:pPr>
        <w:pStyle w:val="58"/>
        <w:numPr>
          <w:ilvl w:val="0"/>
          <w:numId w:val="17"/>
        </w:numPr>
        <w:spacing w:line="560" w:lineRule="exact"/>
        <w:ind w:left="900" w:hanging="420" w:firstLineChars="0"/>
        <w:rPr>
          <w:rFonts w:ascii="仿宋" w:hAnsi="仿宋" w:eastAsia="仿宋" w:cs="仿宋"/>
          <w:szCs w:val="24"/>
        </w:rPr>
      </w:pPr>
      <w:bookmarkStart w:id="46" w:name="_Toc184573185"/>
      <w:bookmarkStart w:id="47" w:name="_Toc184573516"/>
      <w:r>
        <w:rPr>
          <w:rFonts w:hint="eastAsia" w:ascii="仿宋" w:hAnsi="仿宋" w:eastAsia="仿宋" w:cs="仿宋"/>
          <w:szCs w:val="24"/>
        </w:rPr>
        <w:t>合同将被授予符合招标文件要求，并能全面、真实地履行合同的、对招标人最为有利的投标人。最低报价不是被授予合同的唯一保证。</w:t>
      </w:r>
      <w:bookmarkEnd w:id="46"/>
      <w:bookmarkEnd w:id="47"/>
    </w:p>
    <w:p>
      <w:pPr>
        <w:pStyle w:val="58"/>
        <w:numPr>
          <w:ilvl w:val="0"/>
          <w:numId w:val="17"/>
        </w:numPr>
        <w:spacing w:line="560" w:lineRule="exact"/>
        <w:ind w:left="900" w:hanging="420" w:firstLineChars="0"/>
        <w:rPr>
          <w:rFonts w:ascii="仿宋" w:hAnsi="仿宋" w:eastAsia="仿宋" w:cs="仿宋"/>
          <w:szCs w:val="24"/>
        </w:rPr>
      </w:pPr>
      <w:bookmarkStart w:id="48" w:name="_Toc184573186"/>
      <w:bookmarkStart w:id="49" w:name="_Toc184573517"/>
      <w:r>
        <w:rPr>
          <w:rFonts w:hint="eastAsia" w:ascii="仿宋" w:hAnsi="仿宋" w:eastAsia="仿宋" w:cs="仿宋"/>
          <w:szCs w:val="24"/>
        </w:rPr>
        <w:t>在投标有效期内，招标人依据评标小组的评标结果，向选定的中标人发中标通知书。</w:t>
      </w:r>
      <w:bookmarkEnd w:id="48"/>
      <w:bookmarkEnd w:id="49"/>
    </w:p>
    <w:p>
      <w:pPr>
        <w:pStyle w:val="58"/>
        <w:numPr>
          <w:ilvl w:val="0"/>
          <w:numId w:val="17"/>
        </w:numPr>
        <w:spacing w:line="560" w:lineRule="exact"/>
        <w:ind w:left="900" w:hanging="420" w:firstLineChars="0"/>
        <w:rPr>
          <w:rFonts w:ascii="仿宋" w:hAnsi="仿宋" w:eastAsia="仿宋" w:cs="仿宋"/>
          <w:szCs w:val="24"/>
        </w:rPr>
      </w:pPr>
      <w:bookmarkStart w:id="50" w:name="_Toc184573191"/>
      <w:bookmarkStart w:id="51" w:name="_Toc184573522"/>
      <w:r>
        <w:rPr>
          <w:rFonts w:hint="eastAsia" w:ascii="仿宋" w:hAnsi="仿宋" w:eastAsia="仿宋" w:cs="仿宋"/>
          <w:szCs w:val="24"/>
        </w:rPr>
        <w:t>中标人在收到中标通知书后，应按规定的时间、地点派授权代表按照招标文件的要求和投标文件的承诺与招标人完成合同谈判和签订合同。</w:t>
      </w:r>
      <w:bookmarkEnd w:id="50"/>
      <w:bookmarkEnd w:id="51"/>
    </w:p>
    <w:p>
      <w:pPr>
        <w:pStyle w:val="3"/>
        <w:spacing w:line="560" w:lineRule="exact"/>
        <w:rPr>
          <w:rFonts w:ascii="仿宋_GB2312" w:hAnsi="仿宋_GB2312" w:eastAsia="仿宋_GB2312" w:cs="仿宋_GB2312"/>
          <w:b/>
          <w:bCs w:val="0"/>
          <w:sz w:val="32"/>
          <w:szCs w:val="32"/>
        </w:rPr>
      </w:pPr>
      <w:bookmarkStart w:id="52" w:name="_Toc2857"/>
      <w:r>
        <w:rPr>
          <w:rFonts w:hint="eastAsia" w:hAnsi="黑体" w:cs="黑体"/>
        </w:rPr>
        <w:t>知识产权和保密</w:t>
      </w:r>
      <w:bookmarkEnd w:id="52"/>
    </w:p>
    <w:p>
      <w:pPr>
        <w:pStyle w:val="58"/>
        <w:numPr>
          <w:ilvl w:val="0"/>
          <w:numId w:val="18"/>
        </w:numPr>
        <w:spacing w:line="560" w:lineRule="exact"/>
        <w:ind w:left="900" w:hanging="420" w:firstLineChars="0"/>
        <w:rPr>
          <w:rFonts w:ascii="仿宋" w:hAnsi="仿宋" w:eastAsia="仿宋" w:cs="仿宋"/>
          <w:szCs w:val="24"/>
        </w:rPr>
      </w:pPr>
      <w:bookmarkStart w:id="53" w:name="_Toc184573209"/>
      <w:bookmarkStart w:id="54" w:name="_Toc184573540"/>
      <w:r>
        <w:rPr>
          <w:rFonts w:hint="eastAsia" w:ascii="仿宋" w:hAnsi="仿宋" w:eastAsia="仿宋" w:cs="仿宋"/>
          <w:szCs w:val="24"/>
        </w:rPr>
        <w:t>投标人所使用的技术、资料和工具软件等方面发生侵权行为时，其侵权责任与招标人无关，应由投标人承担相应的责任，并不得损害招标人的利益。</w:t>
      </w:r>
      <w:bookmarkEnd w:id="53"/>
      <w:bookmarkEnd w:id="54"/>
    </w:p>
    <w:p>
      <w:pPr>
        <w:pStyle w:val="58"/>
        <w:numPr>
          <w:ilvl w:val="0"/>
          <w:numId w:val="18"/>
        </w:numPr>
        <w:spacing w:line="560" w:lineRule="exact"/>
        <w:ind w:left="900" w:hanging="420" w:firstLineChars="0"/>
        <w:rPr>
          <w:rFonts w:ascii="仿宋" w:hAnsi="仿宋" w:eastAsia="仿宋" w:cs="仿宋"/>
          <w:szCs w:val="24"/>
        </w:rPr>
      </w:pPr>
      <w:bookmarkStart w:id="55" w:name="_Toc184573541"/>
      <w:bookmarkStart w:id="56" w:name="_Toc184573210"/>
      <w:r>
        <w:rPr>
          <w:rFonts w:hint="eastAsia" w:ascii="仿宋" w:hAnsi="仿宋" w:eastAsia="仿宋" w:cs="仿宋"/>
          <w:szCs w:val="24"/>
        </w:rPr>
        <w:t>招标人对提供给中标人的相关资料、方案享有全部权利，中标人未经招标人许可不得随意复制或挪作它用。</w:t>
      </w:r>
      <w:bookmarkEnd w:id="55"/>
      <w:bookmarkEnd w:id="56"/>
    </w:p>
    <w:p>
      <w:pPr>
        <w:pStyle w:val="58"/>
        <w:numPr>
          <w:ilvl w:val="0"/>
          <w:numId w:val="18"/>
        </w:numPr>
        <w:spacing w:line="560" w:lineRule="exact"/>
        <w:ind w:left="900" w:hanging="420" w:firstLineChars="0"/>
        <w:rPr>
          <w:rFonts w:ascii="仿宋" w:hAnsi="仿宋" w:eastAsia="仿宋" w:cs="仿宋"/>
          <w:szCs w:val="24"/>
        </w:rPr>
      </w:pPr>
      <w:bookmarkStart w:id="57" w:name="_Toc184573542"/>
      <w:bookmarkStart w:id="58" w:name="_Toc184573211"/>
      <w:r>
        <w:rPr>
          <w:rFonts w:hint="eastAsia" w:ascii="仿宋" w:hAnsi="仿宋" w:eastAsia="仿宋" w:cs="仿宋"/>
          <w:szCs w:val="24"/>
        </w:rPr>
        <w:t>投标人中标后在招标人处开展项目工作时，不得对外泄露任何内容，包括招标方提供的资料、文件、记录和中标方提供的各阶段的工作成果等。</w:t>
      </w:r>
      <w:bookmarkEnd w:id="57"/>
      <w:bookmarkEnd w:id="58"/>
    </w:p>
    <w:p>
      <w:pPr>
        <w:pStyle w:val="58"/>
        <w:numPr>
          <w:ilvl w:val="0"/>
          <w:numId w:val="18"/>
        </w:numPr>
        <w:spacing w:line="560" w:lineRule="exact"/>
        <w:ind w:left="900" w:hanging="420" w:firstLineChars="0"/>
        <w:rPr>
          <w:rFonts w:ascii="仿宋" w:hAnsi="仿宋" w:eastAsia="仿宋" w:cs="仿宋"/>
          <w:szCs w:val="24"/>
        </w:rPr>
      </w:pPr>
      <w:bookmarkStart w:id="59" w:name="_Toc184573212"/>
      <w:bookmarkStart w:id="60" w:name="_Toc184573543"/>
      <w:r>
        <w:rPr>
          <w:rFonts w:hint="eastAsia" w:ascii="仿宋" w:hAnsi="仿宋" w:eastAsia="仿宋" w:cs="仿宋"/>
          <w:szCs w:val="24"/>
        </w:rPr>
        <w:t>投标人必须协助招标人采取各种管理和技术的手段，确保招标人的信息不被外传和泄露。</w:t>
      </w:r>
      <w:bookmarkEnd w:id="59"/>
      <w:bookmarkEnd w:id="60"/>
    </w:p>
    <w:p>
      <w:pPr>
        <w:pStyle w:val="3"/>
        <w:spacing w:line="560" w:lineRule="exact"/>
        <w:rPr>
          <w:rFonts w:hAnsi="黑体" w:cs="黑体"/>
        </w:rPr>
      </w:pPr>
      <w:bookmarkStart w:id="61" w:name="_Toc4125"/>
      <w:r>
        <w:rPr>
          <w:rFonts w:hint="eastAsia" w:hAnsi="黑体" w:cs="黑体"/>
        </w:rPr>
        <w:t>有关事宜</w:t>
      </w:r>
      <w:bookmarkEnd w:id="61"/>
    </w:p>
    <w:p>
      <w:pPr>
        <w:pStyle w:val="58"/>
        <w:numPr>
          <w:ilvl w:val="0"/>
          <w:numId w:val="19"/>
        </w:numPr>
        <w:spacing w:line="560" w:lineRule="exact"/>
        <w:ind w:left="900" w:hanging="420" w:firstLineChars="0"/>
        <w:rPr>
          <w:rFonts w:ascii="仿宋" w:hAnsi="仿宋" w:eastAsia="仿宋" w:cs="仿宋"/>
          <w:szCs w:val="24"/>
        </w:rPr>
      </w:pPr>
      <w:r>
        <w:rPr>
          <w:rFonts w:hint="eastAsia" w:ascii="仿宋" w:hAnsi="仿宋" w:eastAsia="仿宋" w:cs="仿宋"/>
          <w:szCs w:val="24"/>
        </w:rPr>
        <w:t>所有与本招标条件书有关的函电请按下列通讯地址联系：</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公司名称：厦门开元数字科技有限公司</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通讯地址：厦门市思明区台东路68号18层1801单元</w:t>
      </w:r>
    </w:p>
    <w:p>
      <w:pPr>
        <w:pStyle w:val="58"/>
        <w:numPr>
          <w:ilvl w:val="0"/>
          <w:numId w:val="10"/>
        </w:numPr>
        <w:spacing w:line="560" w:lineRule="exact"/>
        <w:ind w:firstLineChars="0"/>
        <w:rPr>
          <w:rFonts w:ascii="仿宋" w:hAnsi="仿宋" w:eastAsia="仿宋" w:cs="仿宋"/>
          <w:szCs w:val="24"/>
        </w:rPr>
      </w:pPr>
      <w:r>
        <w:rPr>
          <w:rFonts w:hint="eastAsia" w:ascii="仿宋" w:hAnsi="仿宋" w:eastAsia="仿宋" w:cs="仿宋"/>
          <w:szCs w:val="24"/>
        </w:rPr>
        <w:t>电    话：18750918104（罗晓兰）</w:t>
      </w:r>
    </w:p>
    <w:p>
      <w:pPr>
        <w:pStyle w:val="58"/>
        <w:spacing w:line="560" w:lineRule="exact"/>
        <w:ind w:firstLine="0" w:firstLineChars="0"/>
        <w:rPr>
          <w:rFonts w:ascii="仿宋" w:hAnsi="仿宋" w:eastAsia="仿宋" w:cs="仿宋"/>
          <w:szCs w:val="24"/>
        </w:rPr>
      </w:pPr>
    </w:p>
    <w:p>
      <w:pPr>
        <w:pStyle w:val="58"/>
        <w:spacing w:line="560" w:lineRule="exact"/>
        <w:ind w:firstLine="0" w:firstLineChars="0"/>
        <w:rPr>
          <w:rFonts w:ascii="仿宋" w:hAnsi="仿宋" w:eastAsia="仿宋" w:cs="仿宋"/>
          <w:szCs w:val="24"/>
        </w:rPr>
      </w:pPr>
    </w:p>
    <w:p>
      <w:pPr>
        <w:pStyle w:val="58"/>
        <w:spacing w:line="560" w:lineRule="exact"/>
        <w:ind w:firstLine="0" w:firstLineChars="0"/>
        <w:rPr>
          <w:rFonts w:ascii="仿宋" w:hAnsi="仿宋" w:eastAsia="仿宋" w:cs="仿宋"/>
          <w:szCs w:val="24"/>
        </w:rPr>
      </w:pPr>
    </w:p>
    <w:p>
      <w:pPr>
        <w:pStyle w:val="2"/>
        <w:keepNext w:val="0"/>
        <w:keepLines w:val="0"/>
        <w:spacing w:before="190" w:beforeLines="50" w:beforeAutospacing="0" w:after="381" w:afterLines="100" w:afterAutospacing="0" w:line="580" w:lineRule="exact"/>
        <w:contextualSpacing w:val="0"/>
        <w:rPr>
          <w:rFonts w:ascii="方正小标宋简体" w:hAnsi="方正小标宋简体" w:eastAsia="方正小标宋简体" w:cs="方正小标宋简体"/>
          <w:b w:val="0"/>
          <w:kern w:val="0"/>
          <w:sz w:val="44"/>
          <w:szCs w:val="44"/>
        </w:rPr>
      </w:pPr>
      <w:bookmarkStart w:id="62" w:name="_Toc21415"/>
      <w:r>
        <w:rPr>
          <w:rFonts w:hint="eastAsia" w:ascii="方正小标宋简体" w:hAnsi="方正小标宋简体" w:eastAsia="方正小标宋简体" w:cs="方正小标宋简体"/>
          <w:b w:val="0"/>
          <w:kern w:val="0"/>
          <w:sz w:val="44"/>
          <w:szCs w:val="44"/>
        </w:rPr>
        <w:t>项目概述</w:t>
      </w:r>
      <w:bookmarkEnd w:id="62"/>
    </w:p>
    <w:p>
      <w:pPr>
        <w:pStyle w:val="3"/>
        <w:spacing w:line="560" w:lineRule="exact"/>
        <w:rPr>
          <w:rFonts w:hAnsi="黑体" w:cs="黑体"/>
        </w:rPr>
      </w:pPr>
      <w:bookmarkStart w:id="63" w:name="_Toc5381"/>
      <w:r>
        <w:rPr>
          <w:rFonts w:hint="eastAsia" w:hAnsi="黑体" w:cs="黑体"/>
        </w:rPr>
        <w:t>项目名称</w:t>
      </w:r>
      <w:bookmarkEnd w:id="63"/>
    </w:p>
    <w:p>
      <w:pPr>
        <w:spacing w:line="560" w:lineRule="exact"/>
        <w:ind w:firstLine="480"/>
        <w:rPr>
          <w:rFonts w:ascii="仿宋" w:hAnsi="仿宋" w:eastAsia="仿宋" w:cs="仿宋"/>
          <w:szCs w:val="24"/>
        </w:rPr>
      </w:pPr>
      <w:r>
        <w:rPr>
          <w:rFonts w:hint="eastAsia" w:ascii="仿宋" w:hAnsi="仿宋" w:eastAsia="仿宋" w:cs="仿宋"/>
          <w:szCs w:val="24"/>
        </w:rPr>
        <w:t>思明控股统一协同办公系统项目，以下简称“本项目”。</w:t>
      </w:r>
    </w:p>
    <w:p>
      <w:pPr>
        <w:pStyle w:val="3"/>
        <w:spacing w:line="560" w:lineRule="exact"/>
        <w:rPr>
          <w:rFonts w:hAnsi="黑体" w:cs="黑体"/>
        </w:rPr>
      </w:pPr>
      <w:bookmarkStart w:id="64" w:name="_Toc25451"/>
      <w:r>
        <w:rPr>
          <w:rFonts w:hint="eastAsia" w:hAnsi="黑体" w:cs="黑体"/>
        </w:rPr>
        <w:t>项目目标定位</w:t>
      </w:r>
      <w:bookmarkEnd w:id="64"/>
    </w:p>
    <w:p>
      <w:pPr>
        <w:spacing w:line="560" w:lineRule="exact"/>
        <w:ind w:firstLine="480"/>
        <w:rPr>
          <w:rFonts w:ascii="仿宋" w:hAnsi="仿宋" w:eastAsia="仿宋" w:cs="仿宋"/>
          <w:szCs w:val="24"/>
        </w:rPr>
      </w:pPr>
      <w:r>
        <w:rPr>
          <w:rFonts w:hint="eastAsia" w:ascii="仿宋" w:hAnsi="仿宋" w:eastAsia="仿宋" w:cs="仿宋"/>
          <w:szCs w:val="24"/>
        </w:rPr>
        <w:t>根据公司信息化规划和要求，落实信息化建设规划，建立与集团战略目标及信息化建设规划相适应的公司管控信息化平台。</w:t>
      </w:r>
    </w:p>
    <w:p>
      <w:pPr>
        <w:spacing w:line="560" w:lineRule="exact"/>
        <w:ind w:firstLine="480"/>
        <w:rPr>
          <w:rFonts w:ascii="仿宋" w:hAnsi="仿宋" w:eastAsia="仿宋" w:cs="仿宋"/>
          <w:szCs w:val="24"/>
        </w:rPr>
      </w:pPr>
      <w:r>
        <w:rPr>
          <w:rFonts w:hint="eastAsia" w:ascii="仿宋" w:hAnsi="仿宋" w:eastAsia="仿宋" w:cs="仿宋"/>
          <w:szCs w:val="24"/>
        </w:rPr>
        <w:t>本项目将以此平台为信息化建设的主要载体，建立与完善分级分权管理体系，优化管控模式，建立统一的系统标准和数据规范，来接入和容纳公司和所属企业的各类信息管理系统和应用管理系统。再以数据抽取、汇集等方式，建立数据仓库，挖掘和分析数据，为企业提供决策依据。通过这种信息化方式来帮助公司达到信息化战略管控的支撑。并实现三个协同：信息的协同、业务的协同和数据资源的协同；四个统一：统一门户管理，统一数字化办公管理，统一系统集成，统一数据标准等目标。</w:t>
      </w:r>
    </w:p>
    <w:p>
      <w:pPr>
        <w:spacing w:line="560" w:lineRule="exact"/>
        <w:ind w:firstLine="480"/>
        <w:rPr>
          <w:rFonts w:ascii="仿宋" w:hAnsi="仿宋" w:eastAsia="仿宋" w:cs="仿宋"/>
          <w:szCs w:val="24"/>
        </w:rPr>
      </w:pPr>
    </w:p>
    <w:p>
      <w:pPr>
        <w:pStyle w:val="2"/>
        <w:keepNext w:val="0"/>
        <w:keepLines w:val="0"/>
        <w:spacing w:before="190" w:beforeLines="50" w:beforeAutospacing="0" w:after="381" w:afterLines="100" w:afterAutospacing="0" w:line="580" w:lineRule="exact"/>
        <w:contextualSpacing w:val="0"/>
        <w:rPr>
          <w:rFonts w:ascii="方正小标宋简体" w:hAnsi="方正小标宋简体" w:eastAsia="方正小标宋简体" w:cs="方正小标宋简体"/>
          <w:b w:val="0"/>
          <w:kern w:val="0"/>
          <w:sz w:val="44"/>
          <w:szCs w:val="44"/>
        </w:rPr>
      </w:pPr>
      <w:bookmarkStart w:id="65" w:name="_Toc23915"/>
      <w:r>
        <w:rPr>
          <w:rFonts w:hint="eastAsia" w:ascii="方正小标宋简体" w:hAnsi="方正小标宋简体" w:eastAsia="方正小标宋简体" w:cs="方正小标宋简体"/>
          <w:b w:val="0"/>
          <w:kern w:val="0"/>
          <w:sz w:val="44"/>
          <w:szCs w:val="44"/>
        </w:rPr>
        <w:t>建设内容</w:t>
      </w:r>
      <w:bookmarkEnd w:id="65"/>
    </w:p>
    <w:p>
      <w:pPr>
        <w:pStyle w:val="3"/>
        <w:spacing w:line="560" w:lineRule="exact"/>
        <w:rPr>
          <w:rFonts w:hAnsi="黑体" w:cs="黑体"/>
        </w:rPr>
      </w:pPr>
      <w:bookmarkStart w:id="66" w:name="_Toc10693"/>
      <w:r>
        <w:rPr>
          <w:rFonts w:hint="eastAsia" w:hAnsi="黑体" w:cs="黑体"/>
        </w:rPr>
        <w:t>统一门户</w:t>
      </w:r>
      <w:bookmarkEnd w:id="66"/>
    </w:p>
    <w:p>
      <w:pPr>
        <w:spacing w:line="560" w:lineRule="exact"/>
        <w:ind w:firstLine="480"/>
        <w:rPr>
          <w:rFonts w:ascii="仿宋" w:hAnsi="仿宋" w:eastAsia="仿宋" w:cs="仿宋"/>
          <w:szCs w:val="24"/>
        </w:rPr>
      </w:pPr>
      <w:r>
        <w:rPr>
          <w:rFonts w:hint="eastAsia" w:ascii="仿宋" w:hAnsi="仿宋" w:eastAsia="仿宋" w:cs="仿宋"/>
          <w:szCs w:val="24"/>
        </w:rPr>
        <w:t>支持将集团范围内现有的对集团官网、集团业务系统、财务系统、报表系统、主数据系统、档案系统、人力资源系统等整合到统一门户概念范围内，实现统一的工作入口、身份认证和单点登入。</w:t>
      </w:r>
    </w:p>
    <w:p>
      <w:pPr>
        <w:pStyle w:val="3"/>
        <w:spacing w:line="560" w:lineRule="exact"/>
        <w:rPr>
          <w:rFonts w:hAnsi="黑体" w:cs="黑体"/>
        </w:rPr>
      </w:pPr>
      <w:bookmarkStart w:id="67" w:name="_Toc6103"/>
      <w:r>
        <w:rPr>
          <w:rFonts w:hint="eastAsia" w:hAnsi="黑体" w:cs="黑体"/>
        </w:rPr>
        <w:t>数字化办公平台</w:t>
      </w:r>
      <w:bookmarkEnd w:id="67"/>
    </w:p>
    <w:p>
      <w:pPr>
        <w:spacing w:line="560" w:lineRule="exact"/>
        <w:ind w:firstLine="480"/>
        <w:rPr>
          <w:rFonts w:ascii="仿宋_GB2312" w:hAnsi="仿宋_GB2312" w:eastAsia="仿宋_GB2312" w:cs="仿宋_GB2312"/>
          <w:sz w:val="32"/>
          <w:szCs w:val="32"/>
        </w:rPr>
      </w:pPr>
      <w:r>
        <w:rPr>
          <w:rFonts w:hint="eastAsia" w:ascii="仿宋" w:hAnsi="仿宋" w:eastAsia="仿宋" w:cs="仿宋"/>
          <w:szCs w:val="24"/>
        </w:rPr>
        <w:t>实现集团的行政办公业务系统自上而下的统一协同管理（包含下属企业）。</w:t>
      </w:r>
    </w:p>
    <w:p>
      <w:pPr>
        <w:pStyle w:val="3"/>
        <w:spacing w:line="560" w:lineRule="exact"/>
        <w:rPr>
          <w:rFonts w:hAnsi="黑体" w:cs="黑体"/>
        </w:rPr>
      </w:pPr>
      <w:bookmarkStart w:id="68" w:name="_Toc3505"/>
      <w:r>
        <w:rPr>
          <w:rFonts w:hint="eastAsia" w:hAnsi="黑体" w:cs="黑体"/>
        </w:rPr>
        <w:t>系统集成</w:t>
      </w:r>
      <w:bookmarkEnd w:id="68"/>
    </w:p>
    <w:p>
      <w:pPr>
        <w:spacing w:line="560" w:lineRule="exact"/>
        <w:ind w:firstLine="480"/>
        <w:rPr>
          <w:rFonts w:ascii="仿宋" w:hAnsi="仿宋" w:eastAsia="仿宋" w:cs="仿宋"/>
          <w:szCs w:val="24"/>
        </w:rPr>
      </w:pPr>
      <w:r>
        <w:rPr>
          <w:rFonts w:hint="eastAsia" w:ascii="仿宋" w:hAnsi="仿宋" w:eastAsia="仿宋" w:cs="仿宋"/>
          <w:szCs w:val="24"/>
        </w:rPr>
        <w:t>集成集团所有信息系统的接入，为门户数据展现提供支撑，为集团数据仓库提供数据来源。</w:t>
      </w:r>
    </w:p>
    <w:p>
      <w:pPr>
        <w:pStyle w:val="2"/>
        <w:keepNext w:val="0"/>
        <w:keepLines w:val="0"/>
        <w:spacing w:before="190" w:beforeLines="50" w:beforeAutospacing="0" w:after="381" w:afterLines="100" w:afterAutospacing="0" w:line="580" w:lineRule="exact"/>
        <w:contextualSpacing w:val="0"/>
        <w:rPr>
          <w:rFonts w:hint="eastAsia" w:ascii="方正小标宋简体" w:eastAsia="方正小标宋简体" w:cs="黑体"/>
          <w:b w:val="0"/>
          <w:bCs w:val="0"/>
          <w:kern w:val="0"/>
          <w:sz w:val="44"/>
          <w:szCs w:val="44"/>
        </w:rPr>
      </w:pPr>
      <w:bookmarkStart w:id="69" w:name="_Toc32673"/>
      <w:r>
        <w:rPr>
          <w:rFonts w:hint="eastAsia" w:ascii="方正小标宋简体" w:eastAsia="方正小标宋简体" w:cs="黑体"/>
          <w:b w:val="0"/>
          <w:bCs w:val="0"/>
          <w:kern w:val="0"/>
          <w:sz w:val="44"/>
          <w:szCs w:val="44"/>
        </w:rPr>
        <w:t>建设原则</w:t>
      </w:r>
      <w:bookmarkEnd w:id="69"/>
    </w:p>
    <w:p>
      <w:pPr>
        <w:spacing w:line="560" w:lineRule="exact"/>
        <w:ind w:firstLine="480"/>
        <w:rPr>
          <w:rFonts w:ascii="仿宋" w:hAnsi="仿宋" w:eastAsia="仿宋" w:cs="仿宋"/>
          <w:szCs w:val="24"/>
        </w:rPr>
      </w:pPr>
      <w:r>
        <w:rPr>
          <w:rFonts w:hint="eastAsia" w:ascii="仿宋" w:hAnsi="仿宋" w:eastAsia="仿宋" w:cs="仿宋"/>
          <w:szCs w:val="24"/>
        </w:rPr>
        <w:t>按照“统一规划，统一设计，统一标准，统一规范，统一接口，统一平台”的信息化原则，使集团总部及各子公司行政办公系统建立在一个统一的应用平台之上，成为一个信息共享、应用集成的一体化信息系统。</w:t>
      </w:r>
    </w:p>
    <w:p>
      <w:pPr>
        <w:spacing w:line="560" w:lineRule="exact"/>
        <w:ind w:firstLine="480"/>
        <w:rPr>
          <w:rFonts w:ascii="仿宋" w:hAnsi="仿宋" w:eastAsia="仿宋" w:cs="仿宋"/>
          <w:szCs w:val="24"/>
        </w:rPr>
      </w:pPr>
      <w:r>
        <w:rPr>
          <w:rFonts w:hint="eastAsia" w:ascii="仿宋" w:hAnsi="仿宋" w:eastAsia="仿宋" w:cs="仿宋"/>
          <w:szCs w:val="24"/>
        </w:rPr>
        <w:t>结合思明控股集团特点，拟采用“集中部署，先试点、后推广，集中管理、分级维护”的推进策略，即：</w:t>
      </w:r>
    </w:p>
    <w:p>
      <w:pPr>
        <w:spacing w:line="560" w:lineRule="exact"/>
        <w:ind w:firstLine="480"/>
        <w:rPr>
          <w:rFonts w:ascii="仿宋" w:hAnsi="仿宋" w:eastAsia="仿宋" w:cs="仿宋"/>
          <w:szCs w:val="24"/>
        </w:rPr>
      </w:pPr>
      <w:r>
        <w:rPr>
          <w:rFonts w:hint="eastAsia" w:ascii="仿宋" w:hAnsi="仿宋" w:eastAsia="仿宋" w:cs="仿宋"/>
          <w:szCs w:val="24"/>
        </w:rPr>
        <w:t>集中部署，指在集团总部和各子公司使用同一个集中、共享的系统平台，统一制定数字化办公平台规划和部署策略。</w:t>
      </w:r>
    </w:p>
    <w:p>
      <w:pPr>
        <w:spacing w:line="560" w:lineRule="exact"/>
        <w:ind w:firstLine="480"/>
        <w:rPr>
          <w:rFonts w:ascii="仿宋" w:hAnsi="仿宋" w:eastAsia="仿宋" w:cs="仿宋"/>
          <w:szCs w:val="24"/>
        </w:rPr>
      </w:pPr>
      <w:r>
        <w:rPr>
          <w:rFonts w:hint="eastAsia" w:ascii="仿宋" w:hAnsi="仿宋" w:eastAsia="仿宋" w:cs="仿宋"/>
          <w:szCs w:val="24"/>
        </w:rPr>
        <w:t xml:space="preserve">先试点、后推广，在思明控股集团总部实施完毕的基础之上，再向下属企业推广。 </w:t>
      </w:r>
    </w:p>
    <w:p>
      <w:pPr>
        <w:spacing w:line="560" w:lineRule="exact"/>
        <w:ind w:firstLine="480"/>
        <w:rPr>
          <w:rFonts w:ascii="仿宋" w:hAnsi="仿宋" w:eastAsia="仿宋" w:cs="仿宋"/>
          <w:szCs w:val="24"/>
        </w:rPr>
      </w:pPr>
      <w:r>
        <w:rPr>
          <w:rFonts w:hint="eastAsia" w:ascii="仿宋" w:hAnsi="仿宋" w:eastAsia="仿宋" w:cs="仿宋"/>
          <w:szCs w:val="24"/>
        </w:rPr>
        <w:t>集中管理，即后台硬件系统实现统一集中，并确保系统稳定性和安全性。</w:t>
      </w:r>
    </w:p>
    <w:p>
      <w:pPr>
        <w:spacing w:line="560" w:lineRule="exact"/>
        <w:ind w:firstLine="480"/>
        <w:rPr>
          <w:rFonts w:ascii="仿宋" w:hAnsi="仿宋" w:eastAsia="仿宋" w:cs="仿宋"/>
          <w:szCs w:val="24"/>
        </w:rPr>
      </w:pPr>
      <w:r>
        <w:rPr>
          <w:rFonts w:hint="eastAsia" w:ascii="仿宋" w:hAnsi="仿宋" w:eastAsia="仿宋" w:cs="仿宋"/>
          <w:szCs w:val="24"/>
        </w:rPr>
        <w:t>分级维护，指按照上下企业组织结构、门户管理、人事管理、流程管理、知识管理等权限分别维护管辖范围内的信息。</w:t>
      </w:r>
    </w:p>
    <w:p>
      <w:pPr>
        <w:spacing w:line="560" w:lineRule="exact"/>
        <w:ind w:firstLine="480"/>
        <w:rPr>
          <w:rFonts w:ascii="仿宋" w:hAnsi="仿宋" w:eastAsia="仿宋" w:cs="仿宋"/>
          <w:szCs w:val="24"/>
        </w:rPr>
      </w:pPr>
    </w:p>
    <w:p>
      <w:pPr>
        <w:spacing w:line="560" w:lineRule="exact"/>
        <w:ind w:firstLine="480"/>
        <w:rPr>
          <w:rFonts w:ascii="仿宋" w:hAnsi="仿宋" w:eastAsia="仿宋" w:cs="仿宋"/>
          <w:szCs w:val="24"/>
        </w:rPr>
      </w:pPr>
    </w:p>
    <w:p>
      <w:pPr>
        <w:pStyle w:val="2"/>
        <w:keepNext w:val="0"/>
        <w:keepLines w:val="0"/>
        <w:spacing w:before="190" w:beforeLines="50" w:beforeAutospacing="0" w:after="381" w:afterLines="100" w:afterAutospacing="0" w:line="580" w:lineRule="exact"/>
        <w:contextualSpacing w:val="0"/>
        <w:rPr>
          <w:rFonts w:hint="eastAsia" w:ascii="方正小标宋简体" w:eastAsia="方正小标宋简体" w:cs="黑体"/>
          <w:b w:val="0"/>
          <w:bCs w:val="0"/>
          <w:kern w:val="0"/>
          <w:sz w:val="44"/>
          <w:szCs w:val="44"/>
        </w:rPr>
      </w:pPr>
      <w:bookmarkStart w:id="70" w:name="_Toc13386"/>
      <w:r>
        <w:rPr>
          <w:rFonts w:hint="eastAsia" w:ascii="方正小标宋简体" w:eastAsia="方正小标宋简体" w:cs="黑体"/>
          <w:b w:val="0"/>
          <w:bCs w:val="0"/>
          <w:kern w:val="0"/>
          <w:sz w:val="44"/>
          <w:szCs w:val="44"/>
        </w:rPr>
        <w:t>设计原则</w:t>
      </w:r>
      <w:bookmarkEnd w:id="70"/>
    </w:p>
    <w:p>
      <w:pPr>
        <w:pStyle w:val="3"/>
        <w:spacing w:line="560" w:lineRule="exact"/>
        <w:rPr>
          <w:rFonts w:hAnsi="黑体" w:cs="黑体"/>
        </w:rPr>
      </w:pPr>
      <w:bookmarkStart w:id="71" w:name="_Toc10255"/>
      <w:r>
        <w:rPr>
          <w:rFonts w:hint="eastAsia" w:hAnsi="黑体" w:cs="黑体"/>
        </w:rPr>
        <w:t>安全性原则</w:t>
      </w:r>
      <w:bookmarkEnd w:id="71"/>
    </w:p>
    <w:p>
      <w:pPr>
        <w:spacing w:line="560" w:lineRule="exact"/>
        <w:ind w:firstLine="480"/>
        <w:rPr>
          <w:rFonts w:ascii="仿宋" w:hAnsi="仿宋" w:eastAsia="仿宋" w:cs="仿宋"/>
          <w:szCs w:val="24"/>
        </w:rPr>
      </w:pPr>
      <w:r>
        <w:rPr>
          <w:rFonts w:hint="eastAsia" w:ascii="仿宋" w:hAnsi="仿宋" w:eastAsia="仿宋" w:cs="仿宋"/>
          <w:szCs w:val="24"/>
        </w:rPr>
        <w:t>对于认定的关键及敏感数据，只有经过授权的合法用户才能使用访问及修改，并具有完备的日志及审核功能。系统应该有一套完整的安全机制，保证系统能够抵抗内部和外部的黑客性质的攻击；完整的身份认证与授权，对关键用户、领导的身份确认进行数字签名，并支持对敏感数据的加密传输；用户不能够直接存取关键数据，而只能通过相关的功能模块对数据进行操作；同时建立完备的数据备份与灾难恢复机制及策略。</w:t>
      </w:r>
    </w:p>
    <w:p>
      <w:pPr>
        <w:pStyle w:val="3"/>
        <w:spacing w:line="560" w:lineRule="exact"/>
        <w:rPr>
          <w:rFonts w:hAnsi="黑体" w:cs="黑体"/>
        </w:rPr>
      </w:pPr>
      <w:bookmarkStart w:id="72" w:name="_Toc17393"/>
      <w:r>
        <w:rPr>
          <w:rFonts w:hint="eastAsia" w:hAnsi="黑体" w:cs="黑体"/>
        </w:rPr>
        <w:t>成熟性原则</w:t>
      </w:r>
      <w:bookmarkEnd w:id="72"/>
    </w:p>
    <w:p>
      <w:pPr>
        <w:spacing w:line="560" w:lineRule="exact"/>
        <w:ind w:firstLine="480"/>
        <w:rPr>
          <w:rFonts w:ascii="仿宋" w:hAnsi="仿宋" w:eastAsia="仿宋" w:cs="仿宋"/>
          <w:szCs w:val="24"/>
        </w:rPr>
      </w:pPr>
      <w:r>
        <w:rPr>
          <w:rFonts w:hint="eastAsia" w:ascii="仿宋" w:hAnsi="仿宋" w:eastAsia="仿宋" w:cs="仿宋"/>
          <w:szCs w:val="24"/>
        </w:rPr>
        <w:t>选用经过市场考验和用户实际应用验证，在系统稳定性、运行效率和可维护性上都达到了国际先进水平的成熟操作系统平台和应用系统平台。</w:t>
      </w:r>
    </w:p>
    <w:p>
      <w:pPr>
        <w:pStyle w:val="3"/>
        <w:spacing w:line="560" w:lineRule="exact"/>
        <w:rPr>
          <w:rFonts w:hAnsi="黑体" w:cs="黑体"/>
        </w:rPr>
      </w:pPr>
      <w:bookmarkStart w:id="73" w:name="_Toc17774"/>
      <w:r>
        <w:rPr>
          <w:rFonts w:hint="eastAsia" w:hAnsi="黑体" w:cs="黑体"/>
        </w:rPr>
        <w:t>标准化原则</w:t>
      </w:r>
      <w:bookmarkEnd w:id="73"/>
    </w:p>
    <w:p>
      <w:pPr>
        <w:spacing w:line="560" w:lineRule="exact"/>
        <w:ind w:firstLine="480"/>
        <w:rPr>
          <w:rFonts w:ascii="仿宋" w:hAnsi="仿宋" w:eastAsia="仿宋" w:cs="仿宋"/>
          <w:szCs w:val="24"/>
        </w:rPr>
      </w:pPr>
      <w:r>
        <w:rPr>
          <w:rFonts w:hint="eastAsia" w:ascii="仿宋" w:hAnsi="仿宋" w:eastAsia="仿宋" w:cs="仿宋"/>
          <w:szCs w:val="24"/>
        </w:rPr>
        <w:t>在系统平台、技术等选型时符合国际标准、工业标准、行业标准，使系统的通信环境、软件环境相互间依赖减至最小；强调各种系统之间的通信和信息交换，以信息资源共享为有效的基本出发点。</w:t>
      </w:r>
    </w:p>
    <w:p>
      <w:pPr>
        <w:pStyle w:val="3"/>
        <w:spacing w:line="560" w:lineRule="exact"/>
        <w:rPr>
          <w:rFonts w:hAnsi="黑体" w:cs="黑体"/>
        </w:rPr>
      </w:pPr>
      <w:bookmarkStart w:id="74" w:name="_Toc20861"/>
      <w:r>
        <w:rPr>
          <w:rFonts w:hint="eastAsia" w:hAnsi="黑体" w:cs="黑体"/>
        </w:rPr>
        <w:t>易用性原则</w:t>
      </w:r>
      <w:bookmarkEnd w:id="74"/>
    </w:p>
    <w:p>
      <w:pPr>
        <w:tabs>
          <w:tab w:val="left" w:pos="480"/>
          <w:tab w:val="left" w:pos="840"/>
        </w:tabs>
        <w:spacing w:line="560" w:lineRule="exact"/>
        <w:ind w:firstLine="0" w:firstLineChars="0"/>
        <w:rPr>
          <w:rFonts w:ascii="仿宋" w:hAnsi="仿宋" w:eastAsia="仿宋" w:cs="仿宋"/>
          <w:szCs w:val="24"/>
        </w:rPr>
      </w:pPr>
      <w:r>
        <w:rPr>
          <w:rFonts w:hint="eastAsia" w:ascii="仿宋_GB2312" w:hAnsi="仿宋_GB2312" w:eastAsia="仿宋_GB2312" w:cs="仿宋_GB2312"/>
          <w:sz w:val="32"/>
          <w:szCs w:val="32"/>
        </w:rPr>
        <w:tab/>
      </w:r>
      <w:r>
        <w:rPr>
          <w:rFonts w:hint="eastAsia" w:ascii="仿宋" w:hAnsi="仿宋" w:eastAsia="仿宋" w:cs="仿宋"/>
          <w:szCs w:val="24"/>
        </w:rPr>
        <w:t>用户操作界面应尽可能的直观，简洁，缩略操作步骤不能太复杂，必须采用B/S结构能够使用浏览器运行，要求无缝支持IE、edge、chrome、360、safari、Firefox等主流浏览器。</w:t>
      </w:r>
    </w:p>
    <w:p>
      <w:pPr>
        <w:pStyle w:val="3"/>
        <w:spacing w:line="560" w:lineRule="exact"/>
        <w:rPr>
          <w:rFonts w:hAnsi="黑体" w:cs="黑体"/>
        </w:rPr>
      </w:pPr>
      <w:bookmarkStart w:id="75" w:name="_Toc3052"/>
      <w:r>
        <w:rPr>
          <w:rFonts w:hint="eastAsia" w:hAnsi="黑体" w:cs="黑体"/>
        </w:rPr>
        <w:t>开放性原则</w:t>
      </w:r>
      <w:bookmarkEnd w:id="75"/>
    </w:p>
    <w:p>
      <w:pPr>
        <w:tabs>
          <w:tab w:val="left" w:pos="480"/>
          <w:tab w:val="left" w:pos="840"/>
        </w:tabs>
        <w:spacing w:line="560" w:lineRule="exact"/>
        <w:ind w:firstLine="0" w:firstLineChars="0"/>
        <w:rPr>
          <w:rFonts w:ascii="仿宋" w:hAnsi="仿宋" w:eastAsia="仿宋" w:cs="仿宋"/>
          <w:szCs w:val="24"/>
        </w:rPr>
      </w:pPr>
      <w:r>
        <w:rPr>
          <w:rFonts w:hint="eastAsia" w:ascii="仿宋_GB2312" w:hAnsi="仿宋_GB2312" w:eastAsia="仿宋_GB2312" w:cs="仿宋_GB2312"/>
          <w:sz w:val="32"/>
          <w:szCs w:val="32"/>
        </w:rPr>
        <w:tab/>
      </w:r>
      <w:r>
        <w:rPr>
          <w:rFonts w:hint="eastAsia" w:ascii="仿宋" w:hAnsi="仿宋" w:eastAsia="仿宋" w:cs="仿宋"/>
          <w:szCs w:val="24"/>
        </w:rPr>
        <w:t>基于“平台＋应用”的架构，采用“构件模式”来安装各种协同管理支撑平台功能模块，所有模块的用户都由应用支撑平台来管理，个别模块的添加删除不影响其它模块的运行；应便于系统的二次开发和升级改造。</w:t>
      </w:r>
    </w:p>
    <w:p>
      <w:pPr>
        <w:pStyle w:val="3"/>
        <w:spacing w:line="560" w:lineRule="exact"/>
        <w:rPr>
          <w:rFonts w:ascii="仿宋_GB2312" w:hAnsi="仿宋_GB2312" w:eastAsia="仿宋_GB2312" w:cs="仿宋_GB2312"/>
          <w:sz w:val="32"/>
          <w:szCs w:val="32"/>
        </w:rPr>
      </w:pPr>
      <w:bookmarkStart w:id="76" w:name="_Toc20536"/>
      <w:r>
        <w:rPr>
          <w:rFonts w:hint="eastAsia" w:hAnsi="黑体" w:cs="黑体"/>
        </w:rPr>
        <w:t>可维护性原则</w:t>
      </w:r>
      <w:bookmarkEnd w:id="76"/>
      <w:r>
        <w:rPr>
          <w:rFonts w:hint="eastAsia" w:hAnsi="黑体" w:cs="黑体"/>
        </w:rPr>
        <w:t xml:space="preserve"> </w:t>
      </w:r>
      <w:r>
        <w:rPr>
          <w:rFonts w:hint="eastAsia" w:ascii="仿宋_GB2312" w:hAnsi="仿宋_GB2312" w:eastAsia="仿宋_GB2312" w:cs="仿宋_GB2312"/>
          <w:sz w:val="32"/>
          <w:szCs w:val="32"/>
        </w:rPr>
        <w:t xml:space="preserve"> </w:t>
      </w:r>
    </w:p>
    <w:p>
      <w:pPr>
        <w:tabs>
          <w:tab w:val="left" w:pos="480"/>
          <w:tab w:val="left" w:pos="840"/>
        </w:tabs>
        <w:spacing w:line="560" w:lineRule="exact"/>
        <w:ind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 w:hAnsi="仿宋" w:eastAsia="仿宋" w:cs="仿宋"/>
          <w:szCs w:val="24"/>
        </w:rPr>
        <w:t>系统应提供灵活易用的流程设计、图形化表单设计、配置管理、实时监控和详细的日志、审计功能；实现院、各部门的分级管理，以最少的人力资源和技术要求，实现零代码地维护和管理。</w:t>
      </w:r>
    </w:p>
    <w:p>
      <w:pPr>
        <w:pStyle w:val="2"/>
        <w:keepNext w:val="0"/>
        <w:keepLines w:val="0"/>
        <w:spacing w:before="190" w:beforeLines="50" w:beforeAutospacing="0" w:after="381" w:afterLines="100" w:afterAutospacing="0" w:line="580" w:lineRule="exact"/>
        <w:contextualSpacing w:val="0"/>
        <w:rPr>
          <w:rFonts w:hint="eastAsia" w:ascii="方正小标宋简体" w:eastAsia="方正小标宋简体" w:cs="黑体"/>
          <w:b w:val="0"/>
          <w:bCs w:val="0"/>
          <w:kern w:val="0"/>
          <w:sz w:val="44"/>
          <w:szCs w:val="44"/>
        </w:rPr>
      </w:pPr>
      <w:bookmarkStart w:id="77" w:name="_Toc14906"/>
      <w:r>
        <w:rPr>
          <w:rFonts w:hint="eastAsia" w:ascii="方正小标宋简体" w:eastAsia="方正小标宋简体" w:cs="黑体"/>
          <w:b w:val="0"/>
          <w:bCs w:val="0"/>
          <w:kern w:val="0"/>
          <w:sz w:val="44"/>
          <w:szCs w:val="44"/>
        </w:rPr>
        <w:t>技术需求</w:t>
      </w:r>
      <w:bookmarkEnd w:id="77"/>
    </w:p>
    <w:p>
      <w:pPr>
        <w:pStyle w:val="3"/>
        <w:spacing w:line="560" w:lineRule="exact"/>
        <w:rPr>
          <w:rFonts w:hAnsi="黑体" w:cs="黑体"/>
        </w:rPr>
      </w:pPr>
      <w:bookmarkStart w:id="78" w:name="_Toc25203"/>
      <w:r>
        <w:rPr>
          <w:rFonts w:hint="eastAsia" w:hAnsi="黑体" w:cs="黑体"/>
        </w:rPr>
        <w:t>系统平台架构</w:t>
      </w:r>
      <w:bookmarkEnd w:id="78"/>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数字化办公平台须支持主流的硬件平台、操作系统、应用服务器、数据库，投标人必须明确提供系统所支持操作系统版本（包括小版本号及相关的补丁）和数据库版本（包括小版本号及相关的补丁）。</w:t>
      </w:r>
    </w:p>
    <w:p>
      <w:pPr>
        <w:tabs>
          <w:tab w:val="left" w:pos="480"/>
          <w:tab w:val="left" w:pos="840"/>
        </w:tabs>
        <w:spacing w:line="560" w:lineRule="exact"/>
        <w:ind w:firstLine="480"/>
        <w:rPr>
          <w:rFonts w:ascii="仿宋_GB2312" w:hAnsi="仿宋_GB2312" w:eastAsia="仿宋_GB2312" w:cs="仿宋_GB2312"/>
          <w:sz w:val="32"/>
          <w:szCs w:val="32"/>
        </w:rPr>
      </w:pPr>
      <w:r>
        <w:rPr>
          <w:rFonts w:hint="eastAsia" w:ascii="仿宋" w:hAnsi="仿宋" w:eastAsia="仿宋" w:cs="仿宋"/>
          <w:szCs w:val="24"/>
        </w:rPr>
        <w:t>平台整体采用J2EE技术路线，分层设计；前后端分离，应用之间松耦合；前端单页化、后端微服务化、组件化，接口化。能够支撑大型集团多级组织的统一部署、统一管理和应用的统一分发；通过成熟平台+丰富应用的方式，工厂模式，迭代开发；应用数据库空间解耦合，缓存框架提高性能。</w:t>
      </w:r>
    </w:p>
    <w:p>
      <w:pPr>
        <w:tabs>
          <w:tab w:val="left" w:pos="720"/>
          <w:tab w:val="left" w:pos="840"/>
        </w:tabs>
        <w:spacing w:line="560" w:lineRule="exact"/>
        <w:ind w:firstLine="480"/>
        <w:rPr>
          <w:rFonts w:ascii="仿宋" w:hAnsi="仿宋" w:eastAsia="仿宋" w:cs="仿宋"/>
          <w:b w:val="0"/>
          <w:szCs w:val="24"/>
        </w:rPr>
      </w:pPr>
      <w:r>
        <w:rPr>
          <w:rFonts w:hint="eastAsia" w:ascii="仿宋" w:hAnsi="仿宋" w:eastAsia="仿宋" w:cs="仿宋"/>
          <w:b w:val="0"/>
          <w:szCs w:val="24"/>
        </w:rPr>
        <w:t>系统的二次开发须支持不侵入到源代码，可支持重写接口及组件。不影响系统未来的平滑升级。</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数字化办公平台的建设应充分考虑其他应用系统建设的接口与集成，应遵循主流的工业标准与规范（如Web Services服务架构等），构建一个开放的、灵活的系统平台。</w:t>
      </w:r>
    </w:p>
    <w:p>
      <w:pPr>
        <w:pStyle w:val="3"/>
        <w:spacing w:line="560" w:lineRule="exact"/>
        <w:rPr>
          <w:rFonts w:hAnsi="黑体" w:cs="黑体"/>
        </w:rPr>
      </w:pPr>
      <w:bookmarkStart w:id="79" w:name="_Toc22076"/>
      <w:r>
        <w:rPr>
          <w:rFonts w:hint="eastAsia" w:hAnsi="黑体" w:cs="黑体"/>
        </w:rPr>
        <w:t>系统平台软件要求</w:t>
      </w:r>
      <w:bookmarkEnd w:id="79"/>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系统是通用的、成熟的和具有成功案例的数字化办公平台。</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系统应基于大型企业级应用、支持用户大并发量访问能力。</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系统平台内部各模块内在关联。</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跨多平台：支持当前业界绝大多数操作系统平台如：Windows、Unix等。</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系统必须采用B/S架构，在思明控股集团总部机房部署服务器和应用系统，完全浏览器界面，客户端零安装，客户端通过浏览器即可方便使用，尽可能降低系统的维护和使用成本，便于系统今后的推广应用。</w:t>
      </w:r>
    </w:p>
    <w:p>
      <w:pPr>
        <w:tabs>
          <w:tab w:val="left" w:pos="720"/>
          <w:tab w:val="left" w:pos="840"/>
        </w:tabs>
        <w:spacing w:line="560" w:lineRule="exact"/>
        <w:ind w:firstLine="480"/>
        <w:rPr>
          <w:rFonts w:ascii="仿宋_GB2312" w:hAnsi="仿宋_GB2312" w:eastAsia="仿宋_GB2312" w:cs="仿宋_GB2312"/>
          <w:b w:val="0"/>
          <w:sz w:val="32"/>
          <w:szCs w:val="32"/>
        </w:rPr>
      </w:pPr>
      <w:r>
        <w:rPr>
          <w:rFonts w:hint="eastAsia" w:ascii="仿宋" w:hAnsi="仿宋" w:eastAsia="仿宋" w:cs="仿宋"/>
          <w:b w:val="0"/>
          <w:szCs w:val="24"/>
        </w:rPr>
        <w:t>系统必须自带二次开发平台，需本地化部署二次开发平台。</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架构协同性好，可对接其他外部系统；系统需具备高性能，速度快，高效率等特点，并提高查询与数据统计的功能。系统具备可开发拓展性，减少后期开发、维护、拓展的难度。平台功能架构采用前中后三台结构，从而实现，平台配置层、应用实现层与门户展现层的分离。</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存储数据库必须为关系型数据库，必须支持以下两种关系型数据库：oracle 10g及以上版本和MS SQL Server 2008或MYSQL。具有关系型数据库的集成能力：支持对关系型数据库的集成，可以与其他系统互换信息，可以提供决策数据参考，保证系统的外拓或兼容。</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系统可运行于各种不同的应用服务，如Tomcat/Resin/WebSphere等。</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跨系统平台接口数据传递采用Web service实现。</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采用标准、开放和高效的接口与协议。</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多级安全机制：系统可以采用多级安全机制如服务器安全、数据库安全，每级安全要有严格的权限控制保障，必要时，可提供CA认证、验证码、动态密码、key等多种论证组合方式。</w:t>
      </w:r>
    </w:p>
    <w:p>
      <w:pPr>
        <w:pStyle w:val="3"/>
        <w:spacing w:line="560" w:lineRule="exact"/>
        <w:rPr>
          <w:rFonts w:hAnsi="黑体" w:cs="黑体"/>
        </w:rPr>
      </w:pPr>
      <w:bookmarkStart w:id="80" w:name="_Toc6127"/>
      <w:r>
        <w:rPr>
          <w:rFonts w:hint="eastAsia" w:hAnsi="黑体" w:cs="黑体"/>
        </w:rPr>
        <w:t>系统专有技术需求</w:t>
      </w:r>
      <w:bookmarkEnd w:id="80"/>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在系统的配置方面，应能根据实际的需要可视化自定义任意的业务处理流程，用这些可自定义的流程来解决所有的审批和办公业务。</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系统支持流程的导入导出功能，提高系统中应用的复制性和共用性，方便不同环境系统应用的复制和迁移。</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易于二次开发扩展：系统提供二次开发的接口，可以方便用户将办公系统或其他需求扩展到该系统平台上。要求提供详细开发指导文档，并可为客户提供二次开发服务。</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要求采用数字化办公平台架构软件技术，保证核心的平台软件能够与具体的业务无关，避免定制开发带来的周期长、系统不稳定、维护难等问题。</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要求支持AD域集成，以方便日后对资源的统一管理。</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必须提供目录结构式的组织架构管理功能，以便应对思明控股集团多组织、多层级、跨地域的管理。同时，为了满足扁平化管理的需求，必须支持在集团组织架构的基础上构建虚拟团队（以项目为基础的团队组织架构）的功能以及多维度组织架构功能，方便对思明控股集团业务条线、党委条线进行垂直管理，以便实现矩阵式管理。并且工作流平台必须提供对这种多维度组织架构模式的支持，能够按照这种结构模式进行流转处理。</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应具有统一的用户及权限管理机制，能够很方便地对系统进行全面的权限管理，避免信息的冗余，以及由于个别系统的设计不当导致的安全隐患。</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提供灵活的门户自定义定制功能，根据使用者的角色（身份和权限）的不同系统呈现不同的菜单或功能，用户本人可自定义个人门户界面风格、栏目存放位置及显示方式等。</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支持组织架构及人员岗位快速调整，要求系统满足用户内部组织机构调整的要求，尽可能降低在人员调动和部门调整时对系统的影响，加快系统响应速度。</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支持系统集成接口的开放，对企业内部信息系统管理人员提供二次开发培训指导，使企业人员可自行对系统功能进行定制开发和升级维护。</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支持分级分权管理方式。</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报表工具：包含系统运行过程中的业务流报表、流程监控及效率分析类报表的生成、分析工具。</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数字化办公平台系统内消息通知方式：应支持数字化办公平台内部消息及邮件、手机短信。</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提供系统日志管理功能，系统日志管理包括日志监控、日志审计和日志统计，系统中发生的所有对数据产生变更的操作和系统本身的运行检测情况都要求记录在日志平台中，便于统计分析。</w:t>
      </w:r>
    </w:p>
    <w:p>
      <w:pPr>
        <w:pStyle w:val="3"/>
        <w:spacing w:line="560" w:lineRule="exact"/>
        <w:rPr>
          <w:rFonts w:ascii="仿宋_GB2312" w:hAnsi="仿宋_GB2312" w:eastAsia="仿宋_GB2312" w:cs="仿宋_GB2312"/>
          <w:b/>
          <w:bCs w:val="0"/>
          <w:sz w:val="32"/>
          <w:szCs w:val="32"/>
        </w:rPr>
      </w:pPr>
      <w:bookmarkStart w:id="81" w:name="_Toc5212"/>
      <w:r>
        <w:rPr>
          <w:rFonts w:hint="eastAsia" w:hAnsi="黑体" w:cs="黑体"/>
        </w:rPr>
        <w:t>方案设计技术要求</w:t>
      </w:r>
      <w:bookmarkEnd w:id="81"/>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先进性、成熟性:系统采用的技术和语言必须体现一定的先进性，代表主流软件的发展方向和；系统的架构设计必须先进，如体现最新的SOA架构方向。</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实用性、易用性和易维护性:软件要易学、易操作、提示清晰、帮助丰富。便于维护和管理，有利于故障跟踪、检查和排除。</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在功能方面能够根据实际业务的需求提供全面的应用模块，能与其他应用系统有机集成和连接进行定制开发，最大限度地减低因业务需求变化或系统运行环境变化产生的系统维护代价。能方便地进行新模块的扩充和添加，以便新功能的扩展，支持移动办公功能。</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灵活性、兼容性、可扩展性:可按要求任意组合操作的内容和权限；可组合各种所需的查询数据，并以希望的形式打印出来和保存。支持各种打印界面的设计。支持各种流程的自定义和设计。</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安全性可靠性：系统设计应符合国家有关安全保密规定，充分保障信息数据的安全。整个系统的设计应按照连续7*24小时不间断工作的要求设计。应保证数据不被非法盗用和修改，不因意外情况丢失和损坏，保证数据的一致性。提供完善、可靠、灵活的分级分权管理控制机制，确保数据的安全性和保密性；具有身份验证、权限管理、细分系统访问权限。支持使用USB设备等多种认证方式进行安全控制。对非法登录或系统故障等能采取多种检查和处理手段；采用故障检查、告警和处理机制。</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规范性：软件实施过程各阶段技术文档齐全，用户手册文档与实际系统严格一致。系统试运行期间，问题反馈机制健全，有详细的问题记录和问题解决办法。各个页面的连接、页面的结构、页面的菜单，页面的显示的风格一致。协同办公的流程规范应严格按照统一的流程书写规范。</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开放性：系统应提供功能强大的数据接口，轻松实现各种导入导出，并能与外部系统无缝集成。采用开放技术支持标准协议，具有高可管理性和扩充方便与外部系统集成。支持对所有主流关系型数据库管理，格式类的文档具备可移植性。</w:t>
      </w:r>
    </w:p>
    <w:p>
      <w:pPr>
        <w:pStyle w:val="3"/>
        <w:spacing w:line="560" w:lineRule="exact"/>
        <w:rPr>
          <w:rFonts w:hAnsi="黑体" w:cs="黑体"/>
        </w:rPr>
      </w:pPr>
      <w:bookmarkStart w:id="82" w:name="_Toc20600"/>
      <w:r>
        <w:rPr>
          <w:rFonts w:hint="eastAsia" w:hAnsi="黑体" w:cs="黑体"/>
        </w:rPr>
        <w:t>其他技术要求</w:t>
      </w:r>
      <w:bookmarkEnd w:id="82"/>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系统必须支持通过SSL、VPN安全要求的WEB访问。</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系统应提供符合中文使用习惯的操作界面，所有与用户相关的信息都必须用中文显示。</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系统的客户端程序应保证在Windows 各版本（Windows 2000，Windows 2003，Windows XP（SP2，SP3），Vista，win7，win8，win10，win11 等）环境可以正常使用，浏览器支持IE9及以上版本、Chrome80及以上版本、Safari12.1.1及以上版本、Firefox52及以上版本。</w:t>
      </w:r>
    </w:p>
    <w:p>
      <w:pPr>
        <w:tabs>
          <w:tab w:val="left" w:pos="720"/>
          <w:tab w:val="left" w:pos="840"/>
        </w:tabs>
        <w:spacing w:line="560" w:lineRule="exact"/>
        <w:ind w:firstLine="640"/>
        <w:rPr>
          <w:rFonts w:ascii="仿宋_GB2312" w:hAnsi="仿宋_GB2312" w:eastAsia="仿宋_GB2312" w:cs="仿宋_GB2312"/>
          <w:sz w:val="32"/>
          <w:szCs w:val="32"/>
        </w:rPr>
      </w:pPr>
    </w:p>
    <w:p>
      <w:pPr>
        <w:tabs>
          <w:tab w:val="left" w:pos="720"/>
          <w:tab w:val="left" w:pos="840"/>
        </w:tabs>
        <w:spacing w:line="560" w:lineRule="exact"/>
        <w:ind w:firstLine="640"/>
        <w:rPr>
          <w:rFonts w:ascii="仿宋_GB2312" w:hAnsi="仿宋_GB2312" w:eastAsia="仿宋_GB2312" w:cs="仿宋_GB2312"/>
          <w:sz w:val="32"/>
          <w:szCs w:val="32"/>
        </w:rPr>
      </w:pPr>
    </w:p>
    <w:p>
      <w:pPr>
        <w:pStyle w:val="2"/>
        <w:keepNext w:val="0"/>
        <w:keepLines w:val="0"/>
        <w:spacing w:before="190" w:beforeLines="50" w:beforeAutospacing="0" w:after="381" w:afterLines="100" w:afterAutospacing="0" w:line="580" w:lineRule="exact"/>
        <w:contextualSpacing w:val="0"/>
        <w:rPr>
          <w:rFonts w:hint="eastAsia" w:ascii="方正小标宋简体" w:eastAsia="方正小标宋简体" w:cs="黑体"/>
          <w:b w:val="0"/>
          <w:bCs w:val="0"/>
          <w:sz w:val="44"/>
          <w:szCs w:val="44"/>
        </w:rPr>
      </w:pPr>
      <w:bookmarkStart w:id="83" w:name="_Toc26157"/>
      <w:r>
        <w:rPr>
          <w:rFonts w:hint="eastAsia" w:ascii="方正小标宋简体" w:eastAsia="方正小标宋简体" w:cs="黑体"/>
          <w:b w:val="0"/>
          <w:bCs w:val="0"/>
          <w:kern w:val="0"/>
          <w:sz w:val="44"/>
          <w:szCs w:val="44"/>
        </w:rPr>
        <w:t>功能需求</w:t>
      </w:r>
      <w:bookmarkEnd w:id="83"/>
    </w:p>
    <w:p>
      <w:pPr>
        <w:pStyle w:val="3"/>
        <w:spacing w:line="560" w:lineRule="exact"/>
        <w:rPr>
          <w:rFonts w:hAnsi="黑体" w:cs="黑体"/>
        </w:rPr>
      </w:pPr>
      <w:bookmarkStart w:id="84" w:name="_Toc27742"/>
      <w:r>
        <w:rPr>
          <w:rFonts w:hint="eastAsia" w:hAnsi="黑体" w:cs="黑体"/>
        </w:rPr>
        <w:t>项目建设框架</w:t>
      </w:r>
      <w:bookmarkEnd w:id="84"/>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本次项目建设框架既要考虑实用性，即满足当前发展的需要，又要有一定的先进性和扩展性，满足未来5-10年跨平台支持、移动办公发展、集团及下属子公司个性化发展需求。</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本项目主要围绕4个方面建设的应用平台，分别是统一门户、数字化办公平台应用、系统集成应用、数据仓库平台应用。既要考虑集团信息化的标准化功能向全集团覆盖，又要考虑各个下属二、三级企业的个性化需求，要求应用中心需要有丰富成熟的应用组件供集团下属企业借鉴。</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整个数字化办公平台业务功能和功能扩展性的支撑，即平台引擎化，分别是组织引擎、业务&amp;移动建模引擎、流程引擎、内容引擎、报表引擎、集成引擎、门户引擎，通过7大引擎，尽量减少开发，通过系统配置无需编程的方式实现个性化的需求，降低对供应商的依赖，降低维护成本。</w:t>
      </w:r>
    </w:p>
    <w:p>
      <w:pPr>
        <w:pStyle w:val="3"/>
        <w:spacing w:line="560" w:lineRule="exact"/>
        <w:rPr>
          <w:rFonts w:hAnsi="黑体" w:cs="黑体"/>
        </w:rPr>
      </w:pPr>
      <w:bookmarkStart w:id="85" w:name="_Toc21389"/>
      <w:r>
        <w:rPr>
          <w:rFonts w:hint="eastAsia" w:hAnsi="黑体" w:cs="黑体"/>
        </w:rPr>
        <w:t>统一门户</w:t>
      </w:r>
      <w:bookmarkEnd w:id="85"/>
    </w:p>
    <w:p>
      <w:pPr>
        <w:pStyle w:val="4"/>
        <w:spacing w:line="560" w:lineRule="exact"/>
        <w:rPr>
          <w:rFonts w:hAnsi="黑体" w:cs="黑体"/>
        </w:rPr>
      </w:pPr>
      <w:bookmarkStart w:id="86" w:name="_Toc433"/>
      <w:r>
        <w:rPr>
          <w:rFonts w:hint="eastAsia" w:hAnsi="黑体" w:cs="黑体"/>
        </w:rPr>
        <w:t>统一门户</w:t>
      </w:r>
      <w:bookmarkEnd w:id="86"/>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统一门户是给集团员工提供访问集团信息和申请业务的统一入口，将不同的行政办公系统和运营业务系统数据整合起来，实现信息数据的结构化和企业资源的充分共享，最大化的减少信息孤岛的存在。搭建一套集中式的信息推送平台，让不同的部门、不同的岗位、不同的人员都可快速的有针对性的获取与工作有关的信息。</w:t>
      </w:r>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门户具体要求如下表：</w:t>
      </w:r>
    </w:p>
    <w:tbl>
      <w:tblPr>
        <w:tblStyle w:val="3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4820"/>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29" w:type="dxa"/>
          </w:tcPr>
          <w:p>
            <w:pPr>
              <w:tabs>
                <w:tab w:val="left" w:pos="480"/>
                <w:tab w:val="left" w:pos="840"/>
              </w:tabs>
              <w:ind w:firstLine="0" w:firstLineChars="0"/>
              <w:jc w:val="center"/>
              <w:rPr>
                <w:rFonts w:ascii="仿宋" w:hAnsi="仿宋" w:eastAsia="仿宋" w:cs="仿宋"/>
                <w:szCs w:val="24"/>
              </w:rPr>
            </w:pPr>
            <w:r>
              <w:rPr>
                <w:rFonts w:hint="eastAsia" w:ascii="仿宋" w:hAnsi="仿宋" w:eastAsia="仿宋" w:cs="仿宋"/>
                <w:szCs w:val="24"/>
              </w:rPr>
              <w:t>序号</w:t>
            </w:r>
          </w:p>
        </w:tc>
        <w:tc>
          <w:tcPr>
            <w:tcW w:w="4820" w:type="dxa"/>
          </w:tcPr>
          <w:p>
            <w:pPr>
              <w:tabs>
                <w:tab w:val="left" w:pos="480"/>
                <w:tab w:val="left" w:pos="840"/>
              </w:tabs>
              <w:ind w:firstLine="0" w:firstLineChars="0"/>
              <w:jc w:val="center"/>
              <w:rPr>
                <w:rFonts w:ascii="仿宋" w:hAnsi="仿宋" w:eastAsia="仿宋" w:cs="仿宋"/>
                <w:szCs w:val="24"/>
              </w:rPr>
            </w:pPr>
            <w:r>
              <w:rPr>
                <w:rFonts w:hint="eastAsia" w:ascii="仿宋" w:hAnsi="仿宋" w:eastAsia="仿宋" w:cs="仿宋"/>
                <w:szCs w:val="24"/>
              </w:rPr>
              <w:t>要求内容</w:t>
            </w:r>
          </w:p>
        </w:tc>
        <w:tc>
          <w:tcPr>
            <w:tcW w:w="2347" w:type="dxa"/>
          </w:tcPr>
          <w:p>
            <w:pPr>
              <w:tabs>
                <w:tab w:val="left" w:pos="480"/>
                <w:tab w:val="left" w:pos="840"/>
              </w:tabs>
              <w:ind w:firstLine="0" w:firstLineChars="0"/>
              <w:jc w:val="center"/>
              <w:rPr>
                <w:rFonts w:ascii="仿宋" w:hAnsi="仿宋" w:eastAsia="仿宋" w:cs="仿宋"/>
                <w:szCs w:val="24"/>
              </w:rPr>
            </w:pPr>
            <w:r>
              <w:rPr>
                <w:rFonts w:hint="eastAsia" w:ascii="仿宋" w:hAnsi="仿宋" w:eastAsia="仿宋" w:cs="仿宋"/>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tcPr>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1</w:t>
            </w:r>
          </w:p>
        </w:tc>
        <w:tc>
          <w:tcPr>
            <w:tcW w:w="4820"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可自定义界面，能够通过拖拉方式，定义版面内容</w:t>
            </w:r>
          </w:p>
        </w:tc>
        <w:tc>
          <w:tcPr>
            <w:tcW w:w="2347" w:type="dxa"/>
          </w:tcPr>
          <w:p>
            <w:pPr>
              <w:tabs>
                <w:tab w:val="left" w:pos="480"/>
                <w:tab w:val="left" w:pos="840"/>
              </w:tabs>
              <w:ind w:firstLine="480"/>
              <w:jc w:val="left"/>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tcPr>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2</w:t>
            </w:r>
          </w:p>
        </w:tc>
        <w:tc>
          <w:tcPr>
            <w:tcW w:w="4820"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系统管理员可方便设置相关栏目菜单</w:t>
            </w:r>
          </w:p>
        </w:tc>
        <w:tc>
          <w:tcPr>
            <w:tcW w:w="2347" w:type="dxa"/>
          </w:tcPr>
          <w:p>
            <w:pPr>
              <w:tabs>
                <w:tab w:val="left" w:pos="480"/>
                <w:tab w:val="left" w:pos="840"/>
              </w:tabs>
              <w:ind w:firstLine="480"/>
              <w:jc w:val="left"/>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tcPr>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3</w:t>
            </w:r>
          </w:p>
        </w:tc>
        <w:tc>
          <w:tcPr>
            <w:tcW w:w="4820"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普通员工可进行个性化设置，定义自己的工作台或栏目内容</w:t>
            </w:r>
          </w:p>
        </w:tc>
        <w:tc>
          <w:tcPr>
            <w:tcW w:w="2347" w:type="dxa"/>
          </w:tcPr>
          <w:p>
            <w:pPr>
              <w:tabs>
                <w:tab w:val="left" w:pos="480"/>
                <w:tab w:val="left" w:pos="840"/>
              </w:tabs>
              <w:ind w:firstLine="480"/>
              <w:jc w:val="left"/>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tcPr>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4</w:t>
            </w:r>
          </w:p>
        </w:tc>
        <w:tc>
          <w:tcPr>
            <w:tcW w:w="4820"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通过设置每个栏目权限，实现对不同单位、部门的个性化设置管理</w:t>
            </w:r>
          </w:p>
        </w:tc>
        <w:tc>
          <w:tcPr>
            <w:tcW w:w="2347" w:type="dxa"/>
          </w:tcPr>
          <w:p>
            <w:pPr>
              <w:tabs>
                <w:tab w:val="left" w:pos="480"/>
                <w:tab w:val="left" w:pos="840"/>
              </w:tabs>
              <w:ind w:firstLine="480"/>
              <w:jc w:val="left"/>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tcPr>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5</w:t>
            </w:r>
          </w:p>
        </w:tc>
        <w:tc>
          <w:tcPr>
            <w:tcW w:w="4820"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可以树状形式，对整个系统的WEB资源进行分类管理和控制</w:t>
            </w:r>
          </w:p>
        </w:tc>
        <w:tc>
          <w:tcPr>
            <w:tcW w:w="2347" w:type="dxa"/>
          </w:tcPr>
          <w:p>
            <w:pPr>
              <w:tabs>
                <w:tab w:val="left" w:pos="480"/>
                <w:tab w:val="left" w:pos="840"/>
              </w:tabs>
              <w:ind w:firstLine="480"/>
              <w:jc w:val="left"/>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5" w:hRule="atLeast"/>
          <w:jc w:val="center"/>
        </w:trPr>
        <w:tc>
          <w:tcPr>
            <w:tcW w:w="1129" w:type="dxa"/>
          </w:tcPr>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6</w:t>
            </w:r>
          </w:p>
        </w:tc>
        <w:tc>
          <w:tcPr>
            <w:tcW w:w="4820"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通过定义好的数据接口，可获取其他业务系统数据，并以数据仪表盘/图表方式展现。（实现初级BI功能）</w:t>
            </w:r>
          </w:p>
        </w:tc>
        <w:tc>
          <w:tcPr>
            <w:tcW w:w="2347"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BI(Business Intelligent商业智能），它是一系列分析数据库中的数据，并根据收集的信息获得的洞察力来做决策的软件系统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tcPr>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7</w:t>
            </w:r>
          </w:p>
        </w:tc>
        <w:tc>
          <w:tcPr>
            <w:tcW w:w="4820" w:type="dxa"/>
          </w:tcPr>
          <w:p>
            <w:pPr>
              <w:tabs>
                <w:tab w:val="left" w:pos="480"/>
                <w:tab w:val="left" w:pos="840"/>
              </w:tabs>
              <w:ind w:firstLine="0" w:firstLineChars="0"/>
              <w:jc w:val="left"/>
              <w:rPr>
                <w:rFonts w:ascii="仿宋" w:hAnsi="仿宋" w:eastAsia="仿宋" w:cs="仿宋"/>
                <w:szCs w:val="24"/>
              </w:rPr>
            </w:pPr>
            <w:r>
              <w:rPr>
                <w:rFonts w:hint="eastAsia" w:ascii="仿宋" w:hAnsi="仿宋" w:eastAsia="仿宋" w:cs="仿宋"/>
                <w:szCs w:val="24"/>
              </w:rPr>
              <w:t>实现创建门户站点、栏目管理、内容编辑，信息更新等功能</w:t>
            </w:r>
          </w:p>
        </w:tc>
        <w:tc>
          <w:tcPr>
            <w:tcW w:w="2347" w:type="dxa"/>
          </w:tcPr>
          <w:p>
            <w:pPr>
              <w:tabs>
                <w:tab w:val="left" w:pos="480"/>
                <w:tab w:val="left" w:pos="840"/>
              </w:tabs>
              <w:ind w:firstLine="480"/>
              <w:jc w:val="left"/>
              <w:rPr>
                <w:rFonts w:ascii="仿宋" w:hAnsi="仿宋" w:eastAsia="仿宋" w:cs="仿宋"/>
                <w:szCs w:val="24"/>
              </w:rPr>
            </w:pPr>
          </w:p>
        </w:tc>
      </w:tr>
    </w:tbl>
    <w:p>
      <w:pPr>
        <w:tabs>
          <w:tab w:val="left" w:pos="720"/>
          <w:tab w:val="left" w:pos="840"/>
        </w:tabs>
        <w:spacing w:line="560" w:lineRule="exact"/>
        <w:ind w:firstLine="640"/>
        <w:jc w:val="left"/>
        <w:rPr>
          <w:rFonts w:ascii="仿宋_GB2312" w:hAnsi="仿宋_GB2312" w:eastAsia="仿宋_GB2312" w:cs="仿宋_GB2312"/>
          <w:sz w:val="32"/>
          <w:szCs w:val="32"/>
        </w:rPr>
      </w:pPr>
    </w:p>
    <w:p>
      <w:pPr>
        <w:tabs>
          <w:tab w:val="left" w:pos="720"/>
          <w:tab w:val="left" w:pos="840"/>
        </w:tabs>
        <w:spacing w:line="560" w:lineRule="exact"/>
        <w:ind w:firstLine="640"/>
        <w:rPr>
          <w:rFonts w:ascii="仿宋" w:hAnsi="仿宋" w:eastAsia="仿宋" w:cs="仿宋"/>
          <w:sz w:val="32"/>
          <w:szCs w:val="32"/>
        </w:rPr>
      </w:pPr>
      <w:r>
        <w:rPr>
          <w:rFonts w:hint="eastAsia" w:ascii="仿宋" w:hAnsi="仿宋" w:eastAsia="仿宋" w:cs="仿宋"/>
          <w:sz w:val="32"/>
          <w:szCs w:val="32"/>
        </w:rPr>
        <w:t>统一门户主要包含以下内容：</w:t>
      </w:r>
    </w:p>
    <w:p>
      <w:pPr>
        <w:pStyle w:val="4"/>
        <w:spacing w:line="560" w:lineRule="exact"/>
        <w:rPr>
          <w:rFonts w:hAnsi="黑体" w:cs="黑体"/>
        </w:rPr>
      </w:pPr>
      <w:bookmarkStart w:id="87" w:name="_Toc6497"/>
      <w:r>
        <w:rPr>
          <w:rFonts w:hint="eastAsia" w:hAnsi="黑体" w:cs="黑体"/>
        </w:rPr>
        <w:t>门户界面管理</w:t>
      </w:r>
      <w:bookmarkEnd w:id="87"/>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集团门户：集中展现各业务系统，实现统一的单点登陆和统一的身份验证。快速传递公司内各方面的信息动向，加强公司与下属员工的信息来往，让公司内每位员工都可在权限范围内了解到公司的动态。</w:t>
      </w:r>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领导门户：为管理层提供业务数据分析，在线快速全面了解企业运营数据。把领导关心的数据分类聚合并推送到领导工作平台。把需要领导审批的流程、催办、督办的流程、交办事宜处理情况自动汇总到领导门户。</w:t>
      </w:r>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部门门户：可根据不同职能部门和业务部门的工作内容性质不同，从而为各个部门设计出有针对性的部门内信息门户。</w:t>
      </w:r>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个人门户：为集团员工提供集中式的待办工作、计划日程处理、知识订阅等个人工作平台。将所有分散的工作事项集中展现，推送给员工，有助于员工实现高效的个人工作管理。</w:t>
      </w:r>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移动门户：为集团员工随时随地查阅与处理个人待办、个人日程，查阅企业通讯录、新闻公告、业绩报表以及各自关注的商业智能数据图表和指标等等，支撑移动办公和实时决策。</w:t>
      </w:r>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下属企业门户：为二级、三级下属企业构建个性化下属企业门户，为下属企业建设提供电子化手段，实现下属企业信息共享，流程管控，移动办公等等目标，成为下属二级企业与三级企业沟通协调办公的重要渠道，下属企业门户将支持下属企业所有下属员工。</w:t>
      </w:r>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外网门户：通过内网信息审批后自动到外网发布，实现内外网一体化管理。</w:t>
      </w:r>
    </w:p>
    <w:p>
      <w:pPr>
        <w:pStyle w:val="4"/>
        <w:spacing w:line="560" w:lineRule="exact"/>
        <w:rPr>
          <w:rFonts w:hAnsi="黑体" w:cs="黑体"/>
        </w:rPr>
      </w:pPr>
      <w:bookmarkStart w:id="88" w:name="_Toc17518"/>
      <w:r>
        <w:rPr>
          <w:rFonts w:hint="eastAsia" w:hAnsi="黑体" w:cs="黑体"/>
        </w:rPr>
        <w:t>门户信息管理</w:t>
      </w:r>
      <w:bookmarkEnd w:id="88"/>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统一的信息发布：统一发布内部综合新闻、人事新闻、业务新闻、通知公告、动态资讯、规章制度、外部报道等动态信息。</w:t>
      </w:r>
    </w:p>
    <w:p>
      <w:pPr>
        <w:tabs>
          <w:tab w:val="left" w:pos="480"/>
          <w:tab w:val="left" w:pos="840"/>
        </w:tabs>
        <w:ind w:firstLine="480"/>
        <w:jc w:val="left"/>
        <w:rPr>
          <w:rFonts w:ascii="仿宋" w:hAnsi="仿宋" w:eastAsia="仿宋" w:cs="仿宋"/>
          <w:szCs w:val="24"/>
        </w:rPr>
      </w:pPr>
      <w:r>
        <w:rPr>
          <w:rFonts w:hint="eastAsia" w:ascii="仿宋" w:hAnsi="仿宋" w:eastAsia="仿宋" w:cs="仿宋"/>
          <w:szCs w:val="24"/>
        </w:rPr>
        <w:t>信息发布平台的详细要求如下表：</w:t>
      </w:r>
    </w:p>
    <w:tbl>
      <w:tblPr>
        <w:tblStyle w:val="3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5520"/>
        <w:gridCol w:w="1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序号</w:t>
            </w:r>
          </w:p>
        </w:tc>
        <w:tc>
          <w:tcPr>
            <w:tcW w:w="5520"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内容要求</w:t>
            </w:r>
          </w:p>
        </w:tc>
        <w:tc>
          <w:tcPr>
            <w:tcW w:w="1954"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0" w:hRule="atLeast"/>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1</w:t>
            </w:r>
          </w:p>
        </w:tc>
        <w:tc>
          <w:tcPr>
            <w:tcW w:w="5520"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提供目录级和记录级的信息管理和权限管理</w:t>
            </w:r>
          </w:p>
        </w:tc>
        <w:tc>
          <w:tcPr>
            <w:tcW w:w="1954"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提供目录结构式的组织架构管理功能，支持LDAP（轻型目录访问协议）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2</w:t>
            </w:r>
          </w:p>
        </w:tc>
        <w:tc>
          <w:tcPr>
            <w:tcW w:w="5520"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提供多种信息存储方式（文件系统、文档数据库、关系型数据库）</w:t>
            </w:r>
          </w:p>
        </w:tc>
        <w:tc>
          <w:tcPr>
            <w:tcW w:w="1954" w:type="dxa"/>
          </w:tcPr>
          <w:p>
            <w:pPr>
              <w:tabs>
                <w:tab w:val="left" w:pos="720"/>
                <w:tab w:val="left" w:pos="840"/>
              </w:tabs>
              <w:spacing w:line="240" w:lineRule="auto"/>
              <w:ind w:firstLine="0" w:firstLineChars="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3</w:t>
            </w:r>
          </w:p>
        </w:tc>
        <w:tc>
          <w:tcPr>
            <w:tcW w:w="5520"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提供对各种显示模版的管理，可以通过对模版的更换，改变各类信息的显示风格</w:t>
            </w:r>
          </w:p>
        </w:tc>
        <w:tc>
          <w:tcPr>
            <w:tcW w:w="1954" w:type="dxa"/>
          </w:tcPr>
          <w:p>
            <w:pPr>
              <w:tabs>
                <w:tab w:val="left" w:pos="720"/>
                <w:tab w:val="left" w:pos="840"/>
              </w:tabs>
              <w:spacing w:line="240" w:lineRule="auto"/>
              <w:ind w:firstLine="0" w:firstLineChars="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4</w:t>
            </w:r>
          </w:p>
        </w:tc>
        <w:tc>
          <w:tcPr>
            <w:tcW w:w="5520"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能够自行定义不同类型的信息的数据结构，以便于实现灵活的关键字查询和统计分析</w:t>
            </w:r>
          </w:p>
        </w:tc>
        <w:tc>
          <w:tcPr>
            <w:tcW w:w="1954" w:type="dxa"/>
          </w:tcPr>
          <w:p>
            <w:pPr>
              <w:tabs>
                <w:tab w:val="left" w:pos="720"/>
                <w:tab w:val="left" w:pos="840"/>
              </w:tabs>
              <w:spacing w:line="240" w:lineRule="auto"/>
              <w:ind w:firstLine="0" w:firstLineChars="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5</w:t>
            </w:r>
          </w:p>
        </w:tc>
        <w:tc>
          <w:tcPr>
            <w:tcW w:w="5520"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支持链接方式或编辑方式，以便将其他WEB页面内容或WORD文档内容直接粘贴到信息编辑框中，方便信息的发布</w:t>
            </w:r>
          </w:p>
        </w:tc>
        <w:tc>
          <w:tcPr>
            <w:tcW w:w="1954" w:type="dxa"/>
          </w:tcPr>
          <w:p>
            <w:pPr>
              <w:tabs>
                <w:tab w:val="left" w:pos="720"/>
                <w:tab w:val="left" w:pos="840"/>
              </w:tabs>
              <w:spacing w:line="240" w:lineRule="auto"/>
              <w:ind w:firstLine="0" w:firstLineChars="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6</w:t>
            </w:r>
          </w:p>
        </w:tc>
        <w:tc>
          <w:tcPr>
            <w:tcW w:w="5520"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能够和工作流无缝集成，实现对不同类型的信息的发布的审批工作</w:t>
            </w:r>
          </w:p>
        </w:tc>
        <w:tc>
          <w:tcPr>
            <w:tcW w:w="1954" w:type="dxa"/>
          </w:tcPr>
          <w:p>
            <w:pPr>
              <w:tabs>
                <w:tab w:val="left" w:pos="720"/>
                <w:tab w:val="left" w:pos="840"/>
              </w:tabs>
              <w:spacing w:line="240" w:lineRule="auto"/>
              <w:ind w:firstLine="0" w:firstLineChars="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7</w:t>
            </w:r>
          </w:p>
        </w:tc>
        <w:tc>
          <w:tcPr>
            <w:tcW w:w="5520" w:type="dxa"/>
          </w:tcPr>
          <w:p>
            <w:pPr>
              <w:tabs>
                <w:tab w:val="left" w:pos="720"/>
                <w:tab w:val="left" w:pos="840"/>
              </w:tabs>
              <w:spacing w:line="240" w:lineRule="auto"/>
              <w:ind w:firstLine="0" w:firstLineChars="0"/>
              <w:rPr>
                <w:rFonts w:ascii="仿宋" w:hAnsi="仿宋" w:eastAsia="仿宋" w:cs="仿宋"/>
                <w:szCs w:val="24"/>
              </w:rPr>
            </w:pPr>
            <w:r>
              <w:rPr>
                <w:rFonts w:hint="eastAsia" w:ascii="仿宋" w:hAnsi="仿宋" w:eastAsia="仿宋" w:cs="仿宋"/>
                <w:szCs w:val="24"/>
              </w:rPr>
              <w:t>实现对WEB站点管理、栏目管理、权限管理、系统文件管理、远程维护管理、信息采集、编辑、归类、审核及发布管理等功能</w:t>
            </w:r>
          </w:p>
        </w:tc>
        <w:tc>
          <w:tcPr>
            <w:tcW w:w="1954" w:type="dxa"/>
          </w:tcPr>
          <w:p>
            <w:pPr>
              <w:tabs>
                <w:tab w:val="left" w:pos="720"/>
                <w:tab w:val="left" w:pos="840"/>
              </w:tabs>
              <w:spacing w:line="240" w:lineRule="auto"/>
              <w:ind w:firstLine="0" w:firstLineChars="0"/>
              <w:rPr>
                <w:rFonts w:ascii="仿宋" w:hAnsi="仿宋" w:eastAsia="仿宋" w:cs="仿宋"/>
                <w:szCs w:val="24"/>
              </w:rPr>
            </w:pPr>
          </w:p>
        </w:tc>
      </w:tr>
    </w:tbl>
    <w:p>
      <w:pPr>
        <w:tabs>
          <w:tab w:val="left" w:pos="720"/>
          <w:tab w:val="left" w:pos="840"/>
        </w:tabs>
        <w:spacing w:line="560" w:lineRule="exact"/>
        <w:ind w:firstLine="640"/>
        <w:rPr>
          <w:rFonts w:ascii="仿宋_GB2312" w:hAnsi="仿宋_GB2312" w:eastAsia="仿宋_GB2312" w:cs="仿宋_GB2312"/>
          <w:sz w:val="32"/>
          <w:szCs w:val="32"/>
        </w:rPr>
      </w:pP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信息分级栏目定制：建立统一的信息目录体系，在统一目录框架下，集团及所属企业分级定制信息栏目，如综合新闻、人事新闻、业务新闻、通知公告、动态资讯、规章制度、外部报道等。</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信息集中发布审核：提供统一的信息发布和审核界面，发布、审核人员在一个界面上对所有信息集中发布和审核。同时，系统提供标准接口，方便各信息系统对接，实现信息自动发布，统一审核。</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统一的信息检索：提供综合查询、全文检索的信息检索功能。</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通过对于结构化数据和非结构化数据的整合，综合人工采编和实时网络智能采编功能，给到领导审批决策相关背景信息和类似项目信息。</w:t>
      </w:r>
    </w:p>
    <w:p>
      <w:pPr>
        <w:pStyle w:val="4"/>
        <w:spacing w:line="560" w:lineRule="exact"/>
        <w:rPr>
          <w:rFonts w:hAnsi="黑体" w:cs="黑体"/>
        </w:rPr>
      </w:pPr>
      <w:bookmarkStart w:id="89" w:name="_Toc9116"/>
      <w:r>
        <w:rPr>
          <w:rFonts w:hint="eastAsia" w:hAnsi="黑体" w:cs="黑体"/>
        </w:rPr>
        <w:t>门户标准管理</w:t>
      </w:r>
      <w:bookmarkEnd w:id="89"/>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统一的界面标准：门户软件应提供统一的系统管理工具用以管理企业信息门户系统相关的所有软件组件。同时应尽量提供单一集成的软件平台，系统应内置主要的开发工具以及开发与部署环境，系统完整性将有助于系统管理与技术支持。</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统一的权限标准：每个门户都有独立的权限，不同的门户可以设置不同的查看范围，并且门户中的不同的内容展现也可以设置共享权限由不同的权限的人员进行查看，同一个内容展现中不同组织角色的人员看到的内容也是不一样的。</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统一的单点登入标准：统一认证授权是各类应用实现单点登录的核心，同时也是为集团信息化提供应用级安全保障的基础应用。围绕单点登录及应用安全保障的实际需要，统一门户平台单点登入要求支持LDAP、PKI\CA、指纹、附加码、短信、Ukey等多种方式。统一认证授权平台需要提供统一用户信息、统一身份认证、分级授权管理、统一系统日志等基础服务。</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门户分级分权管理：系统界面上，每个分子公司可以有自己独立的界面：登录界面和登录后的使用界面；门户内容上：集团总部除了总部的门户外，还能够透视到下属公司的门户；下属公司：除了自己本部的门户外，希望能够获取到集团下达的信息资讯。</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支持无代码个性化定义标准：门户平台系统可以提供管理部门基于界面的个性化，不同的组织有不同的主界面，可定义个性化内容页面风格、样式、内容及使用方式，而且还可以定义自己的风格模板；基于工作的个性化，不同人员有不同的工作任务、信息、日程、事务；基于规则的个性化，系统能够动态地制定角色权限和商务规则，以实现界面、内容、业务流程的个性化。</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基于JSR168和JSR286B标准：门户管理平台自带的元素支持丰富的数据类型展示：即可以展示平台本身的数据如：流程、文档、计划、日程等，也可以展示平台之外的数据，如异构系统的某个页面、异构系统的数据报表等。</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门户平台可以支持元素的扩展，只要是基于JSR168和JSR286B标准开发都可以放到门户平台中。</w:t>
      </w:r>
    </w:p>
    <w:p>
      <w:pPr>
        <w:pStyle w:val="3"/>
        <w:spacing w:line="560" w:lineRule="exact"/>
        <w:rPr>
          <w:rFonts w:hAnsi="黑体" w:cs="黑体"/>
        </w:rPr>
      </w:pPr>
      <w:bookmarkStart w:id="90" w:name="_Toc255"/>
      <w:r>
        <w:rPr>
          <w:rFonts w:hint="eastAsia" w:hAnsi="黑体" w:cs="黑体"/>
        </w:rPr>
        <w:t>数字化办公平台</w:t>
      </w:r>
      <w:bookmarkEnd w:id="90"/>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数字化办公平台是统一的业务协作和知识共享中心，全面集成各行政办公系统的信息、流程，满足集团各部门日常行政办公管理、业务协同等需要。实现集团总部与各子公司的公文处理电子化，减少纸质办公，对集团总部及各子公司会议、活动、重要接待等综合事务的协调管理以及实现集团总部与各子公司跨区域、跨部门的异地办公、移动办公能力。</w:t>
      </w:r>
    </w:p>
    <w:p>
      <w:pPr>
        <w:tabs>
          <w:tab w:val="left" w:pos="720"/>
          <w:tab w:val="left" w:pos="840"/>
        </w:tabs>
        <w:spacing w:line="560" w:lineRule="exact"/>
        <w:ind w:firstLine="480"/>
        <w:rPr>
          <w:rFonts w:ascii="仿宋" w:hAnsi="仿宋" w:eastAsia="仿宋" w:cs="仿宋"/>
          <w:szCs w:val="24"/>
        </w:rPr>
      </w:pP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数字化办公平台主要包含以下内容：</w:t>
      </w:r>
    </w:p>
    <w:p>
      <w:pPr>
        <w:pStyle w:val="4"/>
        <w:spacing w:line="560" w:lineRule="exact"/>
        <w:rPr>
          <w:rFonts w:hAnsi="黑体" w:cs="黑体"/>
        </w:rPr>
      </w:pPr>
      <w:bookmarkStart w:id="91" w:name="_Toc25664"/>
      <w:r>
        <w:rPr>
          <w:rFonts w:hint="eastAsia" w:hAnsi="黑体" w:cs="黑体"/>
        </w:rPr>
        <w:t>行政办公管理</w:t>
      </w:r>
      <w:bookmarkEnd w:id="91"/>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行政办公管理包括公文管理、用印管理、办公用品管理、用车管理、会议管理、一周工作安排、重点工作督查督办等功能。重点梳理集团现有的各种行政办公制度，规范行政办公流程，实现行政办公效率的提升，管理的规范透明，通过流程建设，使行政办公制度电子化，流程规范化、标准化，提升集团行政办公执行力。</w:t>
      </w:r>
    </w:p>
    <w:p>
      <w:pPr>
        <w:pStyle w:val="5"/>
        <w:spacing w:line="560" w:lineRule="exact"/>
        <w:rPr>
          <w:rFonts w:ascii="黑体" w:hAnsi="黑体" w:eastAsia="黑体" w:cs="黑体"/>
          <w:b w:val="0"/>
          <w:sz w:val="28"/>
        </w:rPr>
      </w:pPr>
      <w:r>
        <w:rPr>
          <w:rFonts w:hint="eastAsia" w:ascii="黑体" w:hAnsi="黑体" w:eastAsia="黑体" w:cs="黑体"/>
          <w:b w:val="0"/>
          <w:sz w:val="28"/>
        </w:rPr>
        <w:t>公文管理</w:t>
      </w:r>
    </w:p>
    <w:tbl>
      <w:tblPr>
        <w:tblStyle w:val="34"/>
        <w:tblpPr w:leftFromText="180" w:rightFromText="180" w:vertAnchor="text" w:horzAnchor="page" w:tblpXSpec="center" w:tblpY="561"/>
        <w:tblOverlap w:val="never"/>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4962"/>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tcPr>
          <w:p/>
        </w:tc>
        <w:tc>
          <w:tcPr>
            <w:tcW w:w="4962" w:type="dxa"/>
          </w:tcPr>
          <w:p>
            <w:pPr>
              <w:spacing w:before="240"/>
              <w:ind w:firstLine="480"/>
              <w:jc w:val="center"/>
              <w:rPr>
                <w:rFonts w:ascii="仿宋_GB2312" w:hAnsi="仿宋_GB2312" w:eastAsia="仿宋_GB2312" w:cs="仿宋_GB2312"/>
                <w:szCs w:val="24"/>
              </w:rPr>
            </w:pPr>
          </w:p>
        </w:tc>
        <w:tc>
          <w:tcPr>
            <w:tcW w:w="1638" w:type="dxa"/>
          </w:tcPr>
          <w:p>
            <w:pPr>
              <w:spacing w:before="240"/>
              <w:ind w:firstLine="480"/>
              <w:jc w:val="center"/>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jc w:val="center"/>
        </w:trPr>
        <w:tc>
          <w:tcPr>
            <w:tcW w:w="1696" w:type="dxa"/>
          </w:tcPr>
          <w:p/>
        </w:tc>
        <w:tc>
          <w:tcPr>
            <w:tcW w:w="4962" w:type="dxa"/>
          </w:tcPr>
          <w:p>
            <w:pPr>
              <w:spacing w:before="240"/>
              <w:ind w:firstLine="480"/>
              <w:jc w:val="center"/>
              <w:rPr>
                <w:rFonts w:ascii="仿宋_GB2312" w:hAnsi="仿宋_GB2312" w:eastAsia="仿宋_GB2312" w:cs="仿宋_GB2312"/>
                <w:szCs w:val="24"/>
              </w:rPr>
            </w:pPr>
          </w:p>
        </w:tc>
        <w:tc>
          <w:tcPr>
            <w:tcW w:w="1638" w:type="dxa"/>
          </w:tcPr>
          <w:p>
            <w:pPr>
              <w:spacing w:before="240"/>
              <w:ind w:firstLine="480"/>
              <w:jc w:val="center"/>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tcPr>
          <w:p/>
        </w:tc>
        <w:tc>
          <w:tcPr>
            <w:tcW w:w="4962" w:type="dxa"/>
          </w:tcPr>
          <w:p>
            <w:pPr>
              <w:spacing w:before="240"/>
              <w:ind w:firstLine="480"/>
              <w:jc w:val="center"/>
              <w:rPr>
                <w:rFonts w:ascii="仿宋_GB2312" w:hAnsi="仿宋_GB2312" w:eastAsia="仿宋_GB2312" w:cs="仿宋_GB2312"/>
                <w:szCs w:val="24"/>
              </w:rPr>
            </w:pPr>
          </w:p>
        </w:tc>
        <w:tc>
          <w:tcPr>
            <w:tcW w:w="1638" w:type="dxa"/>
          </w:tcPr>
          <w:p>
            <w:pPr>
              <w:spacing w:before="240"/>
              <w:ind w:firstLine="480"/>
              <w:jc w:val="center"/>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tcPr>
          <w:p/>
        </w:tc>
        <w:tc>
          <w:tcPr>
            <w:tcW w:w="4962" w:type="dxa"/>
          </w:tcPr>
          <w:p>
            <w:pPr>
              <w:spacing w:before="240"/>
              <w:ind w:firstLine="480"/>
              <w:jc w:val="center"/>
              <w:rPr>
                <w:rFonts w:ascii="仿宋_GB2312" w:hAnsi="仿宋_GB2312" w:eastAsia="仿宋_GB2312" w:cs="仿宋_GB2312"/>
                <w:szCs w:val="24"/>
              </w:rPr>
            </w:pPr>
          </w:p>
        </w:tc>
        <w:tc>
          <w:tcPr>
            <w:tcW w:w="1638" w:type="dxa"/>
          </w:tcPr>
          <w:p>
            <w:pPr>
              <w:spacing w:before="240"/>
              <w:ind w:firstLine="480"/>
              <w:jc w:val="center"/>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tcPr>
          <w:p/>
        </w:tc>
        <w:tc>
          <w:tcPr>
            <w:tcW w:w="4962" w:type="dxa"/>
          </w:tcPr>
          <w:p>
            <w:pPr>
              <w:spacing w:before="240"/>
              <w:ind w:firstLine="480"/>
              <w:jc w:val="center"/>
              <w:rPr>
                <w:rFonts w:ascii="仿宋_GB2312" w:hAnsi="仿宋_GB2312" w:eastAsia="仿宋_GB2312" w:cs="仿宋_GB2312"/>
                <w:szCs w:val="24"/>
              </w:rPr>
            </w:pPr>
          </w:p>
        </w:tc>
        <w:tc>
          <w:tcPr>
            <w:tcW w:w="1638" w:type="dxa"/>
          </w:tcPr>
          <w:p>
            <w:pPr>
              <w:spacing w:before="240"/>
              <w:ind w:firstLine="480"/>
              <w:jc w:val="center"/>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tcPr>
          <w:p/>
        </w:tc>
        <w:tc>
          <w:tcPr>
            <w:tcW w:w="4962" w:type="dxa"/>
          </w:tcPr>
          <w:p>
            <w:pPr>
              <w:spacing w:before="240"/>
              <w:ind w:firstLine="480"/>
              <w:jc w:val="center"/>
              <w:rPr>
                <w:rFonts w:ascii="仿宋_GB2312" w:hAnsi="仿宋_GB2312" w:eastAsia="仿宋_GB2312" w:cs="仿宋_GB2312"/>
                <w:szCs w:val="24"/>
              </w:rPr>
            </w:pPr>
          </w:p>
        </w:tc>
        <w:tc>
          <w:tcPr>
            <w:tcW w:w="1638" w:type="dxa"/>
          </w:tcPr>
          <w:p>
            <w:pPr>
              <w:spacing w:before="240"/>
              <w:ind w:firstLine="480"/>
              <w:jc w:val="center"/>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tcPr>
          <w:p/>
        </w:tc>
        <w:tc>
          <w:tcPr>
            <w:tcW w:w="4962" w:type="dxa"/>
          </w:tcPr>
          <w:p>
            <w:pPr>
              <w:spacing w:before="240"/>
              <w:ind w:firstLine="480"/>
              <w:jc w:val="center"/>
              <w:rPr>
                <w:rFonts w:ascii="仿宋_GB2312" w:hAnsi="仿宋_GB2312" w:eastAsia="仿宋_GB2312" w:cs="仿宋_GB2312"/>
                <w:szCs w:val="24"/>
              </w:rPr>
            </w:pPr>
          </w:p>
        </w:tc>
        <w:tc>
          <w:tcPr>
            <w:tcW w:w="1638" w:type="dxa"/>
          </w:tcPr>
          <w:p>
            <w:pPr>
              <w:spacing w:before="240"/>
              <w:ind w:firstLine="480"/>
              <w:jc w:val="center"/>
              <w:rPr>
                <w:rFonts w:ascii="仿宋_GB2312" w:hAnsi="仿宋_GB2312" w:eastAsia="仿宋_GB2312" w:cs="仿宋_GB2312"/>
                <w:szCs w:val="24"/>
              </w:rPr>
            </w:pPr>
          </w:p>
        </w:tc>
      </w:tr>
    </w:tbl>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公文管理的详细要求如下表：</w:t>
      </w:r>
    </w:p>
    <w:tbl>
      <w:tblPr>
        <w:tblStyle w:val="34"/>
        <w:tblpPr w:leftFromText="180" w:rightFromText="180" w:vertAnchor="text" w:horzAnchor="margin" w:tblpXSpec="right" w:tblpY="411"/>
        <w:tblOverlap w:val="never"/>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4962"/>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序号</w:t>
            </w:r>
          </w:p>
        </w:tc>
        <w:tc>
          <w:tcPr>
            <w:tcW w:w="4962"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内容要求</w:t>
            </w:r>
          </w:p>
        </w:tc>
        <w:tc>
          <w:tcPr>
            <w:tcW w:w="1638"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696"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1</w:t>
            </w:r>
          </w:p>
        </w:tc>
        <w:tc>
          <w:tcPr>
            <w:tcW w:w="4962" w:type="dxa"/>
          </w:tcPr>
          <w:p>
            <w:pPr>
              <w:tabs>
                <w:tab w:val="left" w:pos="720"/>
                <w:tab w:val="left" w:pos="840"/>
              </w:tabs>
              <w:spacing w:line="240" w:lineRule="auto"/>
              <w:ind w:firstLine="0" w:firstLineChars="0"/>
              <w:jc w:val="left"/>
              <w:rPr>
                <w:rFonts w:ascii="仿宋" w:hAnsi="仿宋" w:eastAsia="仿宋" w:cs="仿宋"/>
                <w:szCs w:val="24"/>
              </w:rPr>
            </w:pPr>
            <w:r>
              <w:rPr>
                <w:rFonts w:hint="eastAsia" w:ascii="仿宋" w:hAnsi="仿宋" w:eastAsia="仿宋" w:cs="仿宋"/>
                <w:szCs w:val="24"/>
              </w:rPr>
              <w:t>提供公文的网上草拟、会稿、审核、复核、领导会签、定稿、签发、排版、打印、校对、印发、归档等功能</w:t>
            </w:r>
          </w:p>
        </w:tc>
        <w:tc>
          <w:tcPr>
            <w:tcW w:w="1638" w:type="dxa"/>
          </w:tcPr>
          <w:p>
            <w:pPr>
              <w:tabs>
                <w:tab w:val="left" w:pos="720"/>
                <w:tab w:val="left" w:pos="840"/>
              </w:tabs>
              <w:spacing w:line="240" w:lineRule="auto"/>
              <w:ind w:firstLine="0" w:firstLineChars="0"/>
              <w:jc w:val="center"/>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2</w:t>
            </w:r>
          </w:p>
        </w:tc>
        <w:tc>
          <w:tcPr>
            <w:tcW w:w="4962" w:type="dxa"/>
          </w:tcPr>
          <w:p>
            <w:pPr>
              <w:tabs>
                <w:tab w:val="left" w:pos="720"/>
                <w:tab w:val="left" w:pos="840"/>
              </w:tabs>
              <w:spacing w:line="240" w:lineRule="auto"/>
              <w:ind w:firstLine="0" w:firstLineChars="0"/>
              <w:jc w:val="left"/>
              <w:rPr>
                <w:rFonts w:ascii="仿宋" w:hAnsi="仿宋" w:eastAsia="仿宋" w:cs="仿宋"/>
                <w:szCs w:val="24"/>
              </w:rPr>
            </w:pPr>
            <w:r>
              <w:rPr>
                <w:rFonts w:hint="eastAsia" w:ascii="仿宋" w:hAnsi="仿宋" w:eastAsia="仿宋" w:cs="仿宋"/>
                <w:szCs w:val="24"/>
              </w:rPr>
              <w:t>提供知会、转交、加办、催办、回退、废文、回撤、流转痕迹查看、流程图查看等功能</w:t>
            </w:r>
          </w:p>
        </w:tc>
        <w:tc>
          <w:tcPr>
            <w:tcW w:w="1638" w:type="dxa"/>
          </w:tcPr>
          <w:p>
            <w:pPr>
              <w:tabs>
                <w:tab w:val="left" w:pos="720"/>
                <w:tab w:val="left" w:pos="840"/>
              </w:tabs>
              <w:spacing w:line="240" w:lineRule="auto"/>
              <w:ind w:firstLine="0" w:firstLineChars="0"/>
              <w:jc w:val="center"/>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3</w:t>
            </w:r>
          </w:p>
        </w:tc>
        <w:tc>
          <w:tcPr>
            <w:tcW w:w="4962" w:type="dxa"/>
          </w:tcPr>
          <w:p>
            <w:pPr>
              <w:tabs>
                <w:tab w:val="left" w:pos="720"/>
                <w:tab w:val="left" w:pos="840"/>
              </w:tabs>
              <w:spacing w:line="240" w:lineRule="auto"/>
              <w:ind w:firstLine="0" w:firstLineChars="0"/>
              <w:jc w:val="left"/>
              <w:rPr>
                <w:rFonts w:ascii="仿宋" w:hAnsi="仿宋" w:eastAsia="仿宋" w:cs="仿宋"/>
                <w:szCs w:val="24"/>
              </w:rPr>
            </w:pPr>
            <w:r>
              <w:rPr>
                <w:rFonts w:hint="eastAsia" w:ascii="仿宋" w:hAnsi="仿宋" w:eastAsia="仿宋" w:cs="仿宋"/>
                <w:szCs w:val="24"/>
              </w:rPr>
              <w:t>提供丰富的查询功能，能够快速查找到所要的公文</w:t>
            </w:r>
          </w:p>
        </w:tc>
        <w:tc>
          <w:tcPr>
            <w:tcW w:w="1638" w:type="dxa"/>
          </w:tcPr>
          <w:p>
            <w:pPr>
              <w:tabs>
                <w:tab w:val="left" w:pos="720"/>
                <w:tab w:val="left" w:pos="840"/>
              </w:tabs>
              <w:spacing w:line="240" w:lineRule="auto"/>
              <w:ind w:firstLine="0" w:firstLineChars="0"/>
              <w:jc w:val="center"/>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4</w:t>
            </w:r>
          </w:p>
        </w:tc>
        <w:tc>
          <w:tcPr>
            <w:tcW w:w="4962" w:type="dxa"/>
          </w:tcPr>
          <w:p>
            <w:pPr>
              <w:tabs>
                <w:tab w:val="left" w:pos="720"/>
                <w:tab w:val="left" w:pos="840"/>
              </w:tabs>
              <w:spacing w:line="240" w:lineRule="auto"/>
              <w:ind w:firstLine="0" w:firstLineChars="0"/>
              <w:jc w:val="left"/>
              <w:rPr>
                <w:rFonts w:ascii="仿宋" w:hAnsi="仿宋" w:eastAsia="仿宋" w:cs="仿宋"/>
                <w:szCs w:val="24"/>
              </w:rPr>
            </w:pPr>
            <w:r>
              <w:rPr>
                <w:rFonts w:hint="eastAsia" w:ascii="仿宋" w:hAnsi="仿宋" w:eastAsia="仿宋" w:cs="仿宋"/>
                <w:szCs w:val="24"/>
              </w:rPr>
              <w:t>能够对各种公文进行催办督办，可以设定相对期限和绝对期限的催办督办，催办信息可以通过短信、邮件、工作台等多种方式进行提醒</w:t>
            </w:r>
          </w:p>
        </w:tc>
        <w:tc>
          <w:tcPr>
            <w:tcW w:w="1638" w:type="dxa"/>
          </w:tcPr>
          <w:p>
            <w:pPr>
              <w:tabs>
                <w:tab w:val="left" w:pos="720"/>
                <w:tab w:val="left" w:pos="840"/>
              </w:tabs>
              <w:spacing w:line="240" w:lineRule="auto"/>
              <w:ind w:firstLine="0" w:firstLineChars="0"/>
              <w:jc w:val="center"/>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5</w:t>
            </w:r>
          </w:p>
        </w:tc>
        <w:tc>
          <w:tcPr>
            <w:tcW w:w="4962" w:type="dxa"/>
          </w:tcPr>
          <w:p>
            <w:pPr>
              <w:tabs>
                <w:tab w:val="left" w:pos="720"/>
                <w:tab w:val="left" w:pos="840"/>
              </w:tabs>
              <w:spacing w:line="240" w:lineRule="auto"/>
              <w:ind w:firstLine="0" w:firstLineChars="0"/>
              <w:jc w:val="left"/>
              <w:rPr>
                <w:rFonts w:ascii="仿宋" w:hAnsi="仿宋" w:eastAsia="仿宋" w:cs="仿宋"/>
                <w:szCs w:val="24"/>
              </w:rPr>
            </w:pPr>
            <w:r>
              <w:rPr>
                <w:rFonts w:hint="eastAsia" w:ascii="仿宋" w:hAnsi="仿宋" w:eastAsia="仿宋" w:cs="仿宋"/>
                <w:szCs w:val="24"/>
              </w:rPr>
              <w:t>提供办公流程嵌套功能，如系统能够根据设置，自动将发文转成接收部门的收文流程</w:t>
            </w:r>
          </w:p>
        </w:tc>
        <w:tc>
          <w:tcPr>
            <w:tcW w:w="1638" w:type="dxa"/>
          </w:tcPr>
          <w:p>
            <w:pPr>
              <w:tabs>
                <w:tab w:val="left" w:pos="720"/>
                <w:tab w:val="left" w:pos="840"/>
              </w:tabs>
              <w:spacing w:line="240" w:lineRule="auto"/>
              <w:ind w:firstLine="0" w:firstLineChars="0"/>
              <w:jc w:val="center"/>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tcPr>
          <w:p>
            <w:pPr>
              <w:tabs>
                <w:tab w:val="left" w:pos="720"/>
                <w:tab w:val="left" w:pos="840"/>
              </w:tabs>
              <w:spacing w:line="240" w:lineRule="auto"/>
              <w:ind w:firstLine="0" w:firstLineChars="0"/>
              <w:jc w:val="center"/>
              <w:rPr>
                <w:rFonts w:ascii="仿宋" w:hAnsi="仿宋" w:eastAsia="仿宋" w:cs="仿宋"/>
                <w:szCs w:val="24"/>
              </w:rPr>
            </w:pPr>
            <w:r>
              <w:rPr>
                <w:rFonts w:hint="eastAsia" w:ascii="仿宋" w:hAnsi="仿宋" w:eastAsia="仿宋" w:cs="仿宋"/>
                <w:szCs w:val="24"/>
              </w:rPr>
              <w:t>6</w:t>
            </w:r>
          </w:p>
        </w:tc>
        <w:tc>
          <w:tcPr>
            <w:tcW w:w="4962" w:type="dxa"/>
          </w:tcPr>
          <w:p>
            <w:pPr>
              <w:tabs>
                <w:tab w:val="left" w:pos="720"/>
                <w:tab w:val="left" w:pos="840"/>
              </w:tabs>
              <w:spacing w:line="240" w:lineRule="auto"/>
              <w:ind w:firstLine="0" w:firstLineChars="0"/>
              <w:jc w:val="left"/>
              <w:rPr>
                <w:rFonts w:ascii="仿宋" w:hAnsi="仿宋" w:eastAsia="仿宋" w:cs="仿宋"/>
                <w:szCs w:val="24"/>
              </w:rPr>
            </w:pPr>
            <w:r>
              <w:rPr>
                <w:rFonts w:hint="eastAsia" w:ascii="仿宋" w:hAnsi="仿宋" w:eastAsia="仿宋" w:cs="仿宋"/>
                <w:szCs w:val="24"/>
              </w:rPr>
              <w:t>提供办文过程管理，支持手写批注和电子签名，痕迹保留</w:t>
            </w:r>
          </w:p>
        </w:tc>
        <w:tc>
          <w:tcPr>
            <w:tcW w:w="1638" w:type="dxa"/>
          </w:tcPr>
          <w:p>
            <w:pPr>
              <w:tabs>
                <w:tab w:val="left" w:pos="720"/>
                <w:tab w:val="left" w:pos="840"/>
              </w:tabs>
              <w:spacing w:line="240" w:lineRule="auto"/>
              <w:ind w:firstLine="0" w:firstLineChars="0"/>
              <w:jc w:val="center"/>
              <w:rPr>
                <w:rFonts w:ascii="仿宋" w:hAnsi="仿宋" w:eastAsia="仿宋" w:cs="仿宋"/>
                <w:szCs w:val="24"/>
              </w:rPr>
            </w:pPr>
          </w:p>
        </w:tc>
      </w:tr>
    </w:tbl>
    <w:p>
      <w:pPr>
        <w:spacing w:line="560" w:lineRule="exact"/>
        <w:ind w:firstLine="640"/>
        <w:rPr>
          <w:rFonts w:ascii="仿宋_GB2312" w:hAnsi="仿宋_GB2312" w:eastAsia="仿宋_GB2312" w:cs="仿宋_GB2312"/>
          <w:sz w:val="32"/>
          <w:szCs w:val="32"/>
        </w:rPr>
      </w:pP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严格按照国家公文管理规定提供完备的电子公文管理功能，包括：公文应用设置、发文管理、收文管理、签报管理、公文交换、公文督办、公文查询、公文统计、公文档案。</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公文审批：实现领导审核审批、电子盖章、签字、文单签批、提交意见等应用，为组织中各级领导处理公文提供易用工具。</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公文督办：使得目标管理与督查督办相结合，规范办理流程、梳理和明确各部门职能，发挥领导机关枢纽作用。</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 xml:space="preserve">流程控制：公文流转过程中，通过公文模板（流程模板、公文正文模板等）支持公文流转的正式性、严肃性与规范性，实现公文管理的刚性控制；通过会签、多级会签、回退、终止等应用，支持公文流转过程中的异常情况处理。 </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留痕信息管理：提供两种留痕信息管理，一种为保留电子公文的具体修改的内容，即修改内容留痕；一种为保留修改痕迹。使得公文流转过程中，对公文的操作及操作对象、操作者都清晰可见。</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保密管理：支持公文文单、正文的修改权限控制，以及增减附件的控制，支持复制、下载、打印权限控制，防拷贝，实现公文传输的安全性。</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归档管理：支持电子公文归档和安全存放，确保公文归档保存的真实、完整、安全与可识别；并提供公文文档库管理功能，实现公文分类、入卷、借阅，并记录相应操作过程。</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电子印章：支持电子印章授权与校验。</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跨单位传递：提供公文交换中心，实现公文在同组织下跨单位传递。</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文号生成：支持公文号、内部文号自动生成，并提供断号管理。</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查询统计：自定义查询条件，实现分时分类统计与查询。</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公文转发：支持收文转发文、收文转公告。</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日志管理：可了解到整个公文的流转状态，便于公文的发起者、处理者、督办人员对公文中每位参与者状况的了解。</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明细查看：可以查看到各处理人的公文收到时间、处理时间，处理时长、有无延期等情况，以便清楚公文的流转效率和瓶颈所在。</w:t>
      </w:r>
    </w:p>
    <w:p>
      <w:pPr>
        <w:tabs>
          <w:tab w:val="left" w:pos="720"/>
          <w:tab w:val="left" w:pos="840"/>
        </w:tabs>
        <w:spacing w:line="560" w:lineRule="exact"/>
        <w:ind w:firstLine="361" w:firstLineChars="150"/>
        <w:rPr>
          <w:rFonts w:ascii="仿宋" w:hAnsi="仿宋" w:eastAsia="仿宋" w:cs="仿宋"/>
          <w:b/>
          <w:szCs w:val="24"/>
        </w:rPr>
      </w:pPr>
      <w:r>
        <w:rPr>
          <w:rFonts w:hint="eastAsia" w:ascii="仿宋" w:hAnsi="仿宋" w:eastAsia="仿宋" w:cs="仿宋"/>
          <w:b/>
          <w:szCs w:val="24"/>
        </w:rPr>
        <w:t>（1）发文管理</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支持拟文、审批、审核、复核、会签、签发的公文成文审批过程；</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一文多屏，在一个页面可以展现表单、正文、意见，附件、签批动作；</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支持无插件化公文在线处理，支持在任意的终端设备使用，不受终端环境影响；</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智能文种转化，根据实际管理需要，实现多文种之间的随时转换，提高办文效率；</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公文流转自由加签，实现办理过程的灵活处理，让公文处理更贴近实际管理需要；</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支持调用模板；</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支持公文套红、用印、封发、归档的公文处理过程；</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支持调用各类文单模板；</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支持行文过程的正文套红、公文单套红和打印输出；</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支持行文过程的手写批注、文字批注、显示/隐藏痕迹、文档清稿、电子印章；</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支持发文转公告；</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支持会签、回退、终止；</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支持发起人附言；支持补充正文、补充附件；</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支持处理期限和超期管理；</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支持文号自动管理，支持断号选择；</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支持发文过程中进行公文督办监督。</w:t>
      </w:r>
      <w:bookmarkStart w:id="92" w:name="_Toc225918587"/>
      <w:bookmarkEnd w:id="92"/>
    </w:p>
    <w:p>
      <w:pPr>
        <w:tabs>
          <w:tab w:val="left" w:pos="720"/>
          <w:tab w:val="left" w:pos="840"/>
        </w:tabs>
        <w:spacing w:line="560" w:lineRule="exact"/>
        <w:ind w:firstLine="482"/>
        <w:rPr>
          <w:rFonts w:ascii="仿宋" w:hAnsi="仿宋" w:eastAsia="仿宋" w:cs="仿宋"/>
          <w:b/>
          <w:szCs w:val="24"/>
        </w:rPr>
      </w:pPr>
      <w:r>
        <w:rPr>
          <w:rFonts w:hint="eastAsia" w:ascii="仿宋" w:hAnsi="仿宋" w:eastAsia="仿宋" w:cs="仿宋"/>
          <w:b/>
          <w:szCs w:val="24"/>
        </w:rPr>
        <w:t>（2）收文管理</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支持收办件、收阅件处理；</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支持登记、拟办、会签、承办、办理、阅读、知会等节点动作；</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支持系统内部收文登记；</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支持外来文纸质公文、外来电子公文登记；</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支持收文转发文：实现对上级单位、上级行政部门来文的转发；</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支持调用收文模板；</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支持收文处理过程中的督办设置；</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支持收文处理流程期限设置、超期提醒设置、跟踪设置；</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支持登记人登记公文时附言。</w:t>
      </w:r>
    </w:p>
    <w:p>
      <w:pPr>
        <w:tabs>
          <w:tab w:val="left" w:pos="720"/>
          <w:tab w:val="left" w:pos="840"/>
        </w:tabs>
        <w:spacing w:line="560" w:lineRule="exact"/>
        <w:ind w:firstLine="482"/>
        <w:rPr>
          <w:rFonts w:ascii="仿宋" w:hAnsi="仿宋" w:eastAsia="仿宋" w:cs="仿宋"/>
          <w:b/>
          <w:szCs w:val="24"/>
        </w:rPr>
      </w:pPr>
      <w:r>
        <w:rPr>
          <w:rFonts w:hint="eastAsia" w:ascii="仿宋" w:hAnsi="仿宋" w:eastAsia="仿宋" w:cs="仿宋"/>
          <w:b/>
          <w:szCs w:val="24"/>
        </w:rPr>
        <w:t>（3）签报管理</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支持签报拟文、审批、审核、复核、会签、办理、归档等的签报处理过程；</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支持调用签报模板；</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支持行文过程的手写批注、文字批注、显示/隐藏痕迹、文档清稿、电子印章；</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支持回退、终止等异常处理；</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支持关联其他公文、关联知识文档；支持多种格式附件；</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支持处理期限和超期管理；</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支持签报文号自动引用；</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支持签报处理过程中进行督办监督。</w:t>
      </w:r>
    </w:p>
    <w:p>
      <w:pPr>
        <w:tabs>
          <w:tab w:val="left" w:pos="720"/>
          <w:tab w:val="left" w:pos="840"/>
        </w:tabs>
        <w:spacing w:line="560" w:lineRule="exact"/>
        <w:ind w:firstLine="482"/>
        <w:rPr>
          <w:rFonts w:ascii="仿宋" w:hAnsi="仿宋" w:eastAsia="仿宋" w:cs="仿宋"/>
          <w:b/>
          <w:szCs w:val="24"/>
        </w:rPr>
      </w:pPr>
      <w:r>
        <w:rPr>
          <w:rFonts w:hint="eastAsia" w:ascii="仿宋" w:hAnsi="仿宋" w:eastAsia="仿宋" w:cs="仿宋"/>
          <w:b/>
          <w:szCs w:val="24"/>
        </w:rPr>
        <w:t>（4）查询统计</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可以查看查询结果中的具体公文，包括公文正文、流程、文单；</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支持处于不同流转状态下的公文查询；</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查询条件多样，符合各类查找要求（包括按各种类型时间段查询、按各表单内容查询）；</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设立完善的查询权限机制，对于已归档的公文，只能查询文件密级为普通、且查询者参与的公文，实现严格把控查找结果，保证公文的安全可控；</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收发查询、收发统计结果支持Excel导出。</w:t>
      </w:r>
    </w:p>
    <w:p>
      <w:pPr>
        <w:tabs>
          <w:tab w:val="left" w:pos="720"/>
          <w:tab w:val="left" w:pos="840"/>
        </w:tabs>
        <w:spacing w:line="560" w:lineRule="exact"/>
        <w:ind w:firstLine="482"/>
        <w:rPr>
          <w:rFonts w:ascii="仿宋" w:hAnsi="仿宋" w:eastAsia="仿宋" w:cs="仿宋"/>
          <w:b/>
          <w:szCs w:val="24"/>
        </w:rPr>
      </w:pPr>
      <w:r>
        <w:rPr>
          <w:rFonts w:hint="eastAsia" w:ascii="仿宋" w:hAnsi="仿宋" w:eastAsia="仿宋" w:cs="仿宋"/>
          <w:b/>
          <w:szCs w:val="24"/>
        </w:rPr>
        <w:t>（5）公文档案</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安全存放：确保公文归档保存的真实、完整、安全与可识别；</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支持自定义公文档案目录结构；</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文档库管理：实现分类、入卷、借阅、检索、与过程痕迹记录；</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支持已归档文的借阅，支持借阅时间限制、操作权限，提供借阅跟踪，实现已归档公文的安全可公控；</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支持查看已归档公文操作历史；</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支持固定格式的输出打印及纸质存档。</w:t>
      </w:r>
    </w:p>
    <w:p>
      <w:pPr>
        <w:tabs>
          <w:tab w:val="left" w:pos="720"/>
          <w:tab w:val="left" w:pos="840"/>
        </w:tabs>
        <w:spacing w:line="560" w:lineRule="exact"/>
        <w:ind w:firstLine="482"/>
        <w:rPr>
          <w:rFonts w:ascii="仿宋" w:hAnsi="仿宋" w:eastAsia="仿宋" w:cs="仿宋"/>
          <w:b/>
          <w:szCs w:val="24"/>
        </w:rPr>
      </w:pPr>
      <w:r>
        <w:rPr>
          <w:rFonts w:hint="eastAsia" w:ascii="仿宋" w:hAnsi="仿宋" w:eastAsia="仿宋" w:cs="仿宋"/>
          <w:b/>
          <w:szCs w:val="24"/>
        </w:rPr>
        <w:t>（6）公文交换平台</w:t>
      </w:r>
    </w:p>
    <w:p>
      <w:pPr>
        <w:numPr>
          <w:ilvl w:val="0"/>
          <w:numId w:val="22"/>
        </w:numPr>
        <w:tabs>
          <w:tab w:val="left" w:pos="720"/>
          <w:tab w:val="left" w:pos="840"/>
        </w:tabs>
        <w:spacing w:line="560" w:lineRule="exact"/>
        <w:ind w:firstLine="480" w:firstLineChars="0"/>
        <w:rPr>
          <w:rFonts w:ascii="仿宋" w:hAnsi="仿宋" w:eastAsia="仿宋" w:cs="仿宋"/>
          <w:bCs/>
          <w:szCs w:val="24"/>
        </w:rPr>
      </w:pPr>
      <w:r>
        <w:rPr>
          <w:rFonts w:hint="eastAsia" w:ascii="仿宋" w:hAnsi="仿宋" w:eastAsia="仿宋" w:cs="仿宋"/>
          <w:bCs/>
          <w:szCs w:val="24"/>
        </w:rPr>
        <w:t>针对集团内部公文交换，需提供内部数据公文交换平台，方便实现集团与下属公司之间的公文及流程数据交换。通过公文交换平台，实现集团与下属公司的数据共享及信息的上传下达。</w:t>
      </w:r>
    </w:p>
    <w:p>
      <w:pPr>
        <w:pStyle w:val="5"/>
        <w:spacing w:line="560" w:lineRule="exact"/>
        <w:rPr>
          <w:rFonts w:ascii="黑体" w:hAnsi="黑体" w:eastAsia="黑体" w:cs="黑体"/>
          <w:b w:val="0"/>
          <w:sz w:val="28"/>
        </w:rPr>
      </w:pPr>
      <w:r>
        <w:rPr>
          <w:rFonts w:hint="eastAsia" w:ascii="黑体" w:hAnsi="黑体" w:eastAsia="黑体" w:cs="黑体"/>
          <w:b w:val="0"/>
          <w:sz w:val="28"/>
        </w:rPr>
        <w:t>会议管理</w:t>
      </w:r>
    </w:p>
    <w:p>
      <w:pPr>
        <w:spacing w:line="560" w:lineRule="exact"/>
        <w:ind w:firstLine="480"/>
        <w:rPr>
          <w:rFonts w:ascii="仿宋" w:hAnsi="仿宋" w:eastAsia="仿宋" w:cs="仿宋"/>
          <w:szCs w:val="24"/>
        </w:rPr>
      </w:pPr>
      <w:r>
        <w:rPr>
          <w:rFonts w:hint="eastAsia" w:ascii="仿宋" w:hAnsi="仿宋" w:eastAsia="仿宋" w:cs="仿宋"/>
          <w:szCs w:val="24"/>
        </w:rPr>
        <w:t>会议管理模块详细要求如下表：</w:t>
      </w:r>
    </w:p>
    <w:tbl>
      <w:tblPr>
        <w:tblStyle w:val="3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3698"/>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2" w:type="dxa"/>
          </w:tcPr>
          <w:p>
            <w:pPr>
              <w:spacing w:line="560" w:lineRule="exact"/>
              <w:ind w:firstLine="0" w:firstLineChars="0"/>
              <w:jc w:val="center"/>
              <w:rPr>
                <w:rFonts w:ascii="仿宋" w:hAnsi="仿宋" w:eastAsia="仿宋" w:cs="仿宋"/>
                <w:szCs w:val="24"/>
              </w:rPr>
            </w:pPr>
            <w:r>
              <w:rPr>
                <w:rFonts w:hint="eastAsia" w:ascii="仿宋" w:hAnsi="仿宋" w:eastAsia="仿宋" w:cs="仿宋"/>
                <w:szCs w:val="24"/>
              </w:rPr>
              <w:t>序号</w:t>
            </w:r>
          </w:p>
        </w:tc>
        <w:tc>
          <w:tcPr>
            <w:tcW w:w="3698" w:type="dxa"/>
          </w:tcPr>
          <w:p>
            <w:pPr>
              <w:spacing w:line="560" w:lineRule="exact"/>
              <w:ind w:firstLine="0" w:firstLineChars="0"/>
              <w:jc w:val="center"/>
              <w:rPr>
                <w:rFonts w:ascii="仿宋" w:hAnsi="仿宋" w:eastAsia="仿宋" w:cs="仿宋"/>
                <w:szCs w:val="24"/>
              </w:rPr>
            </w:pPr>
            <w:r>
              <w:rPr>
                <w:rFonts w:hint="eastAsia" w:ascii="仿宋" w:hAnsi="仿宋" w:eastAsia="仿宋" w:cs="仿宋"/>
                <w:szCs w:val="24"/>
              </w:rPr>
              <w:t>内容要求</w:t>
            </w:r>
          </w:p>
        </w:tc>
        <w:tc>
          <w:tcPr>
            <w:tcW w:w="2766" w:type="dxa"/>
          </w:tcPr>
          <w:p>
            <w:pPr>
              <w:spacing w:line="560" w:lineRule="exact"/>
              <w:ind w:firstLine="0" w:firstLineChars="0"/>
              <w:jc w:val="center"/>
              <w:rPr>
                <w:rFonts w:ascii="仿宋" w:hAnsi="仿宋" w:eastAsia="仿宋" w:cs="仿宋"/>
                <w:szCs w:val="24"/>
              </w:rPr>
            </w:pPr>
            <w:r>
              <w:rPr>
                <w:rFonts w:hint="eastAsia" w:ascii="仿宋" w:hAnsi="仿宋" w:eastAsia="仿宋" w:cs="仿宋"/>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2" w:type="dxa"/>
          </w:tcPr>
          <w:p>
            <w:pPr>
              <w:spacing w:line="560" w:lineRule="exact"/>
              <w:ind w:firstLine="480"/>
              <w:rPr>
                <w:rFonts w:ascii="仿宋" w:hAnsi="仿宋" w:eastAsia="仿宋" w:cs="仿宋"/>
                <w:szCs w:val="24"/>
              </w:rPr>
            </w:pPr>
            <w:r>
              <w:rPr>
                <w:rFonts w:hint="eastAsia" w:ascii="仿宋" w:hAnsi="仿宋" w:eastAsia="仿宋" w:cs="仿宋"/>
                <w:szCs w:val="24"/>
              </w:rPr>
              <w:t>1</w:t>
            </w:r>
          </w:p>
        </w:tc>
        <w:tc>
          <w:tcPr>
            <w:tcW w:w="3698" w:type="dxa"/>
          </w:tcPr>
          <w:p>
            <w:pPr>
              <w:spacing w:line="560" w:lineRule="exact"/>
              <w:ind w:firstLine="0" w:firstLineChars="0"/>
              <w:rPr>
                <w:rFonts w:ascii="仿宋" w:hAnsi="仿宋" w:eastAsia="仿宋" w:cs="仿宋"/>
                <w:szCs w:val="24"/>
              </w:rPr>
            </w:pPr>
            <w:r>
              <w:rPr>
                <w:rFonts w:hint="eastAsia" w:ascii="仿宋" w:hAnsi="仿宋" w:eastAsia="仿宋" w:cs="仿宋"/>
                <w:szCs w:val="24"/>
              </w:rPr>
              <w:t>会议室安排</w:t>
            </w:r>
          </w:p>
        </w:tc>
        <w:tc>
          <w:tcPr>
            <w:tcW w:w="2766" w:type="dxa"/>
          </w:tcPr>
          <w:p>
            <w:pPr>
              <w:spacing w:line="560" w:lineRule="exact"/>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2" w:type="dxa"/>
          </w:tcPr>
          <w:p>
            <w:pPr>
              <w:spacing w:line="560" w:lineRule="exact"/>
              <w:ind w:firstLine="480"/>
              <w:rPr>
                <w:rFonts w:ascii="仿宋" w:hAnsi="仿宋" w:eastAsia="仿宋" w:cs="仿宋"/>
                <w:szCs w:val="24"/>
              </w:rPr>
            </w:pPr>
            <w:r>
              <w:rPr>
                <w:rFonts w:hint="eastAsia" w:ascii="仿宋" w:hAnsi="仿宋" w:eastAsia="仿宋" w:cs="仿宋"/>
                <w:szCs w:val="24"/>
              </w:rPr>
              <w:t>2</w:t>
            </w:r>
          </w:p>
        </w:tc>
        <w:tc>
          <w:tcPr>
            <w:tcW w:w="3698" w:type="dxa"/>
          </w:tcPr>
          <w:p>
            <w:pPr>
              <w:spacing w:line="560" w:lineRule="exact"/>
              <w:ind w:firstLine="0" w:firstLineChars="0"/>
              <w:rPr>
                <w:rFonts w:ascii="仿宋" w:hAnsi="仿宋" w:eastAsia="仿宋" w:cs="仿宋"/>
                <w:szCs w:val="24"/>
              </w:rPr>
            </w:pPr>
            <w:r>
              <w:rPr>
                <w:rFonts w:hint="eastAsia" w:ascii="仿宋" w:hAnsi="仿宋" w:eastAsia="仿宋" w:cs="仿宋"/>
                <w:szCs w:val="24"/>
              </w:rPr>
              <w:t>上会资料准备</w:t>
            </w:r>
          </w:p>
        </w:tc>
        <w:tc>
          <w:tcPr>
            <w:tcW w:w="2766" w:type="dxa"/>
          </w:tcPr>
          <w:p>
            <w:pPr>
              <w:spacing w:line="560" w:lineRule="exact"/>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2" w:type="dxa"/>
          </w:tcPr>
          <w:p>
            <w:pPr>
              <w:spacing w:line="560" w:lineRule="exact"/>
              <w:ind w:firstLine="480"/>
              <w:rPr>
                <w:rFonts w:ascii="仿宋" w:hAnsi="仿宋" w:eastAsia="仿宋" w:cs="仿宋"/>
                <w:szCs w:val="24"/>
              </w:rPr>
            </w:pPr>
            <w:r>
              <w:rPr>
                <w:rFonts w:hint="eastAsia" w:ascii="仿宋" w:hAnsi="仿宋" w:eastAsia="仿宋" w:cs="仿宋"/>
                <w:szCs w:val="24"/>
              </w:rPr>
              <w:t>3</w:t>
            </w:r>
          </w:p>
        </w:tc>
        <w:tc>
          <w:tcPr>
            <w:tcW w:w="3698" w:type="dxa"/>
          </w:tcPr>
          <w:p>
            <w:pPr>
              <w:spacing w:line="560" w:lineRule="exact"/>
              <w:ind w:firstLine="0" w:firstLineChars="0"/>
              <w:rPr>
                <w:rFonts w:ascii="仿宋" w:hAnsi="仿宋" w:eastAsia="仿宋" w:cs="仿宋"/>
                <w:szCs w:val="24"/>
              </w:rPr>
            </w:pPr>
            <w:r>
              <w:rPr>
                <w:rFonts w:hint="eastAsia" w:ascii="仿宋" w:hAnsi="仿宋" w:eastAsia="仿宋" w:cs="仿宋"/>
                <w:szCs w:val="24"/>
              </w:rPr>
              <w:t>会议流程待办及提醒</w:t>
            </w:r>
          </w:p>
        </w:tc>
        <w:tc>
          <w:tcPr>
            <w:tcW w:w="2766" w:type="dxa"/>
          </w:tcPr>
          <w:p>
            <w:pPr>
              <w:spacing w:line="560" w:lineRule="exact"/>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2" w:type="dxa"/>
          </w:tcPr>
          <w:p>
            <w:pPr>
              <w:spacing w:line="560" w:lineRule="exact"/>
              <w:ind w:firstLine="480"/>
              <w:rPr>
                <w:rFonts w:ascii="仿宋" w:hAnsi="仿宋" w:eastAsia="仿宋" w:cs="仿宋"/>
                <w:szCs w:val="24"/>
              </w:rPr>
            </w:pPr>
            <w:r>
              <w:rPr>
                <w:rFonts w:hint="eastAsia" w:ascii="仿宋" w:hAnsi="仿宋" w:eastAsia="仿宋" w:cs="仿宋"/>
                <w:szCs w:val="24"/>
              </w:rPr>
              <w:t>4</w:t>
            </w:r>
          </w:p>
        </w:tc>
        <w:tc>
          <w:tcPr>
            <w:tcW w:w="3698" w:type="dxa"/>
          </w:tcPr>
          <w:p>
            <w:pPr>
              <w:spacing w:line="560" w:lineRule="exact"/>
              <w:ind w:firstLine="0" w:firstLineChars="0"/>
              <w:rPr>
                <w:rFonts w:ascii="仿宋" w:hAnsi="仿宋" w:eastAsia="仿宋" w:cs="仿宋"/>
                <w:szCs w:val="24"/>
              </w:rPr>
            </w:pPr>
            <w:r>
              <w:rPr>
                <w:rFonts w:hint="eastAsia" w:ascii="仿宋" w:hAnsi="仿宋" w:eastAsia="仿宋" w:cs="仿宋"/>
                <w:szCs w:val="24"/>
              </w:rPr>
              <w:t>会议纪要及决议上传及跟踪</w:t>
            </w:r>
          </w:p>
        </w:tc>
        <w:tc>
          <w:tcPr>
            <w:tcW w:w="2766" w:type="dxa"/>
          </w:tcPr>
          <w:p>
            <w:pPr>
              <w:spacing w:line="560" w:lineRule="exact"/>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2" w:type="dxa"/>
          </w:tcPr>
          <w:p>
            <w:pPr>
              <w:spacing w:line="560" w:lineRule="exact"/>
              <w:ind w:firstLine="480"/>
              <w:rPr>
                <w:rFonts w:ascii="仿宋" w:hAnsi="仿宋" w:eastAsia="仿宋" w:cs="仿宋"/>
                <w:szCs w:val="24"/>
              </w:rPr>
            </w:pPr>
            <w:r>
              <w:rPr>
                <w:rFonts w:hint="eastAsia" w:ascii="仿宋" w:hAnsi="仿宋" w:eastAsia="仿宋" w:cs="仿宋"/>
                <w:szCs w:val="24"/>
              </w:rPr>
              <w:t>5</w:t>
            </w:r>
          </w:p>
        </w:tc>
        <w:tc>
          <w:tcPr>
            <w:tcW w:w="3698" w:type="dxa"/>
          </w:tcPr>
          <w:p>
            <w:pPr>
              <w:spacing w:line="560" w:lineRule="exact"/>
              <w:ind w:firstLine="0" w:firstLineChars="0"/>
              <w:rPr>
                <w:rFonts w:ascii="仿宋" w:hAnsi="仿宋" w:eastAsia="仿宋" w:cs="仿宋"/>
                <w:szCs w:val="24"/>
              </w:rPr>
            </w:pPr>
            <w:r>
              <w:rPr>
                <w:rFonts w:hint="eastAsia" w:ascii="仿宋" w:hAnsi="仿宋" w:eastAsia="仿宋" w:cs="仿宋"/>
                <w:szCs w:val="24"/>
              </w:rPr>
              <w:t>会议决议任务跟踪</w:t>
            </w:r>
          </w:p>
        </w:tc>
        <w:tc>
          <w:tcPr>
            <w:tcW w:w="2766" w:type="dxa"/>
          </w:tcPr>
          <w:p>
            <w:pPr>
              <w:spacing w:line="560" w:lineRule="exact"/>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2" w:type="dxa"/>
          </w:tcPr>
          <w:p>
            <w:pPr>
              <w:spacing w:line="560" w:lineRule="exact"/>
              <w:ind w:firstLine="480"/>
              <w:rPr>
                <w:rFonts w:ascii="仿宋" w:hAnsi="仿宋" w:eastAsia="仿宋" w:cs="仿宋"/>
                <w:szCs w:val="24"/>
              </w:rPr>
            </w:pPr>
            <w:r>
              <w:rPr>
                <w:rFonts w:hint="eastAsia" w:ascii="仿宋" w:hAnsi="仿宋" w:eastAsia="仿宋" w:cs="仿宋"/>
                <w:szCs w:val="24"/>
              </w:rPr>
              <w:t>6</w:t>
            </w:r>
          </w:p>
        </w:tc>
        <w:tc>
          <w:tcPr>
            <w:tcW w:w="3698" w:type="dxa"/>
          </w:tcPr>
          <w:p>
            <w:pPr>
              <w:spacing w:line="560" w:lineRule="exact"/>
              <w:ind w:firstLine="0" w:firstLineChars="0"/>
              <w:rPr>
                <w:rFonts w:ascii="仿宋" w:hAnsi="仿宋" w:eastAsia="仿宋" w:cs="仿宋"/>
                <w:szCs w:val="24"/>
              </w:rPr>
            </w:pPr>
            <w:r>
              <w:rPr>
                <w:rFonts w:hint="eastAsia" w:ascii="仿宋" w:hAnsi="仿宋" w:eastAsia="仿宋" w:cs="仿宋"/>
                <w:szCs w:val="24"/>
              </w:rPr>
              <w:t>会议执行效率分析报表</w:t>
            </w:r>
          </w:p>
        </w:tc>
        <w:tc>
          <w:tcPr>
            <w:tcW w:w="2766" w:type="dxa"/>
          </w:tcPr>
          <w:p>
            <w:pPr>
              <w:spacing w:line="560" w:lineRule="exact"/>
              <w:ind w:firstLine="480"/>
              <w:rPr>
                <w:rFonts w:ascii="仿宋" w:hAnsi="仿宋" w:eastAsia="仿宋" w:cs="仿宋"/>
                <w:szCs w:val="24"/>
              </w:rPr>
            </w:pPr>
          </w:p>
        </w:tc>
      </w:tr>
    </w:tbl>
    <w:p>
      <w:pPr>
        <w:spacing w:line="560" w:lineRule="exact"/>
        <w:ind w:firstLine="640"/>
        <w:rPr>
          <w:rFonts w:ascii="仿宋_GB2312" w:hAnsi="仿宋_GB2312" w:eastAsia="仿宋_GB2312" w:cs="仿宋_GB2312"/>
          <w:sz w:val="32"/>
          <w:szCs w:val="32"/>
        </w:rPr>
      </w:pP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包括会议室管理和会议安排、会议通知、会议材料、会议纪要。具备会议通知的拟定、审核、发布等，会议室管理包括会议室概况、会议室状态，会议室的申请、审批、通知与会人、查询、使用统计等功能。会议室管理在日程安排的基础上，避免会议时间和会议场地的冲突，实现会议时间确定和会议场地的安排。申请完毕后，将会议通知发送给与会单位或个人，并具备短信提醒开会等功能。会议纪要根据权限浏览、查询等，并自动归档。管理集团内部上会及下属公司会议上报的审核。</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会议分类管理：会议分为普通会议和公司级会议两种，预定会议室会议时用户可选择会管人员（前台、IT支持）和会议需要的办公设备（投影、视频音频、桌牌、茶水等）。</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会议室管理：可通过系统查看已在系统中登记的各个会议室的使用情况，能快速预定需要使用的会议室并确定会议室的使用时间。选择会议室时，可展示不同时间各会议室的占用情况、预订人、会议主题等信息。</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会议通知：会议流程发起后，可以设置通过短信平台、电子邮件、即时短信息等多种的会议通知方式通知与会人员，并自动将会议自动安排进与会人员日程表。通过发出后系统自动发出回执给予参会确认，同时参会人员可自行下载权限范围内的会议相关资料。</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会议取消：支持以邮件、短信、即时消息等方式通知参会人。</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会议决议：每次会议，形成历史会议记录，方便日后查询，可以直接启动会议纪要的发文审批等功能。</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会议与日程关联：会议预定可按照时间段拖动选择，预定成功后关联到“个人日程”功能。</w:t>
      </w:r>
    </w:p>
    <w:p>
      <w:pPr>
        <w:numPr>
          <w:ilvl w:val="0"/>
          <w:numId w:val="21"/>
        </w:numPr>
        <w:spacing w:line="560" w:lineRule="exact"/>
        <w:ind w:firstLine="480" w:firstLineChars="0"/>
        <w:rPr>
          <w:rFonts w:ascii="仿宋" w:hAnsi="仿宋" w:eastAsia="仿宋" w:cs="仿宋"/>
          <w:szCs w:val="24"/>
        </w:rPr>
      </w:pPr>
      <w:r>
        <w:rPr>
          <w:rFonts w:hint="eastAsia" w:ascii="仿宋" w:hAnsi="仿宋" w:eastAsia="仿宋" w:cs="仿宋"/>
          <w:szCs w:val="24"/>
        </w:rPr>
        <w:t>会议查询：支持多条件组合模糊查询会议状态。</w:t>
      </w:r>
    </w:p>
    <w:p>
      <w:pPr>
        <w:pStyle w:val="5"/>
        <w:spacing w:line="560" w:lineRule="exact"/>
        <w:rPr>
          <w:rFonts w:ascii="黑体" w:hAnsi="黑体" w:eastAsia="黑体" w:cs="黑体"/>
          <w:b w:val="0"/>
          <w:sz w:val="28"/>
        </w:rPr>
      </w:pPr>
      <w:r>
        <w:rPr>
          <w:rFonts w:hint="eastAsia" w:ascii="黑体" w:hAnsi="黑体" w:eastAsia="黑体" w:cs="黑体"/>
          <w:b w:val="0"/>
          <w:sz w:val="28"/>
        </w:rPr>
        <w:t>车辆管理</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对车辆档案的基本资料维护、通过流程审批对车辆使用申请、车辆保养维修记录、管理司机基本档案、以及对车辆各种信息进行统计，可按人员、部门、时间、车辆类型等多种方式进行统计等功能。</w:t>
      </w:r>
    </w:p>
    <w:p>
      <w:pPr>
        <w:pStyle w:val="5"/>
        <w:spacing w:line="560" w:lineRule="exact"/>
        <w:rPr>
          <w:rFonts w:ascii="黑体" w:hAnsi="黑体" w:eastAsia="黑体" w:cs="黑体"/>
          <w:b w:val="0"/>
          <w:sz w:val="28"/>
        </w:rPr>
      </w:pPr>
      <w:r>
        <w:rPr>
          <w:rFonts w:hint="eastAsia" w:ascii="黑体" w:hAnsi="黑体" w:eastAsia="黑体" w:cs="黑体"/>
          <w:b w:val="0"/>
          <w:sz w:val="28"/>
        </w:rPr>
        <w:t>各种工作流管理</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工作流管理是工作流引擎的应用展现，面向集团所有职能部门和各种工作流程，是对业务规则与过程的电子化描述，管理在协同工作进程中的信息流通与业务活动。方便自定义工作流程，简单易用的可视化流程拖拽移动形式，以智能的方式处理过程，保证工作中的某项任务完成后，实时地把工作传送给处理过程中的下一步，保留工作流转进程中的操作痕迹。</w:t>
      </w:r>
    </w:p>
    <w:p>
      <w:pPr>
        <w:tabs>
          <w:tab w:val="left" w:pos="720"/>
          <w:tab w:val="left" w:pos="840"/>
        </w:tabs>
        <w:spacing w:line="560" w:lineRule="exact"/>
        <w:ind w:firstLine="480"/>
        <w:rPr>
          <w:rFonts w:ascii="仿宋" w:hAnsi="仿宋" w:eastAsia="仿宋" w:cs="仿宋"/>
          <w:b/>
          <w:szCs w:val="24"/>
        </w:rPr>
      </w:pPr>
      <w:r>
        <w:rPr>
          <w:rFonts w:hint="eastAsia" w:ascii="仿宋" w:hAnsi="仿宋" w:eastAsia="仿宋" w:cs="仿宋"/>
          <w:szCs w:val="24"/>
        </w:rPr>
        <w:t xml:space="preserve">      </w:t>
      </w:r>
      <w:r>
        <w:rPr>
          <w:rFonts w:hint="eastAsia" w:ascii="仿宋" w:hAnsi="仿宋" w:eastAsia="仿宋" w:cs="仿宋"/>
          <w:b/>
          <w:szCs w:val="24"/>
        </w:rPr>
        <w:t xml:space="preserve"> （1）流程化的四个核心要素</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流程图形化、可视化展示：流程的流转过程可以用图形化的方式展现，让流程负责人和节点处理人员快速了解流程运作的现状；所有的流程可以通过流程面板分类、分级地形象化展示，方便员工找到对应的流程。</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流程相关数据决策支撑体系：流程在流转审核过程中，最大的难点在于流程相关数据（如相关流程，相关文件资料、相关事务等）的支撑，如果没有流程相关数据的支撑无法准确判断该项事务的合理性。</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流程的统计与效率分析：流程化的目的不仅仅是提升效率，实现流程节点的催办和督办，实现流程效率分析，从而优化和完善流程，同时通过流程收集信息和数据，实现领导审批的决策支持。</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管理表格电子化：管理表格式企业内部各个业务环节沟通的基础，是数据记录的载体，提升效率的基础是对管理表格的设计，因此，管理表格式作为流程电子化体系的基础。</w:t>
      </w:r>
    </w:p>
    <w:p>
      <w:pPr>
        <w:tabs>
          <w:tab w:val="left" w:pos="720"/>
          <w:tab w:val="left" w:pos="840"/>
        </w:tabs>
        <w:spacing w:line="560" w:lineRule="exact"/>
        <w:ind w:firstLine="590" w:firstLineChars="245"/>
        <w:rPr>
          <w:rFonts w:ascii="仿宋" w:hAnsi="仿宋" w:eastAsia="仿宋" w:cs="仿宋"/>
          <w:b/>
          <w:szCs w:val="24"/>
        </w:rPr>
      </w:pPr>
      <w:r>
        <w:rPr>
          <w:rFonts w:hint="eastAsia" w:ascii="仿宋" w:hAnsi="仿宋" w:eastAsia="仿宋" w:cs="仿宋"/>
          <w:b/>
          <w:szCs w:val="24"/>
        </w:rPr>
        <w:t>（2）流程运维的基本要求</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支持流程模板的快速导入导出，实现全集团模板流程的经验共享。</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流程提供组织架构及人员调整批量维护，减轻流程维护的工作量及风险。</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支持流程版本管理，实现对流程在线后台修改不影响前端流程的使用。</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支持流程正式系统的模拟测试，在不获取领导账号的前提下，流程能够实现模拟测试，减少流程在配置过程中的错误。</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支持流程流转自动化预测功能，在已办流程上可以预测未来流程经过的节点及办理人员。</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支持流程审批的二次确认功能，在审批环节支持二次密码校验才能通过审批。</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支持流程与历史流程的协同，在流程发起环节，可以关联劳历史流程以及联动出关联的历史流程单据数据。</w:t>
      </w:r>
    </w:p>
    <w:p>
      <w:pPr>
        <w:pStyle w:val="5"/>
        <w:spacing w:line="560" w:lineRule="exact"/>
        <w:rPr>
          <w:rFonts w:ascii="黑体" w:hAnsi="黑体" w:eastAsia="黑体" w:cs="黑体"/>
          <w:b w:val="0"/>
          <w:sz w:val="28"/>
        </w:rPr>
      </w:pPr>
      <w:r>
        <w:rPr>
          <w:rFonts w:hint="eastAsia" w:ascii="黑体" w:hAnsi="黑体" w:eastAsia="黑体" w:cs="黑体"/>
          <w:b w:val="0"/>
          <w:sz w:val="28"/>
        </w:rPr>
        <w:t>多维度组织构架</w:t>
      </w:r>
    </w:p>
    <w:p>
      <w:pPr>
        <w:tabs>
          <w:tab w:val="left" w:pos="720"/>
          <w:tab w:val="left" w:pos="840"/>
        </w:tabs>
        <w:spacing w:line="560" w:lineRule="exact"/>
        <w:ind w:firstLine="360" w:firstLineChars="150"/>
        <w:rPr>
          <w:rFonts w:ascii="仿宋" w:hAnsi="仿宋" w:eastAsia="仿宋" w:cs="仿宋"/>
          <w:szCs w:val="24"/>
        </w:rPr>
      </w:pPr>
      <w:r>
        <w:rPr>
          <w:rFonts w:hint="eastAsia" w:ascii="仿宋" w:hAnsi="仿宋" w:eastAsia="仿宋" w:cs="仿宋"/>
          <w:szCs w:val="24"/>
        </w:rPr>
        <w:t>考虑与多套系统集成及集团矩阵式管理，系统需实现多维度组织架构（如行政维度、党委维度、财务维度、项目维度、板块维度等），支持一人多岗管理模式，提供一人多岗解决方案。</w:t>
      </w:r>
    </w:p>
    <w:p>
      <w:pPr>
        <w:pStyle w:val="5"/>
        <w:spacing w:line="560" w:lineRule="exact"/>
        <w:rPr>
          <w:rFonts w:ascii="黑体" w:hAnsi="黑体" w:eastAsia="黑体" w:cs="黑体"/>
          <w:b w:val="0"/>
          <w:sz w:val="28"/>
        </w:rPr>
      </w:pPr>
      <w:r>
        <w:rPr>
          <w:rFonts w:hint="eastAsia" w:ascii="黑体" w:hAnsi="黑体" w:eastAsia="黑体" w:cs="黑体"/>
          <w:b w:val="0"/>
          <w:sz w:val="28"/>
        </w:rPr>
        <w:t>制度管理</w:t>
      </w:r>
    </w:p>
    <w:p>
      <w:pPr>
        <w:tabs>
          <w:tab w:val="left" w:pos="720"/>
          <w:tab w:val="left" w:pos="840"/>
        </w:tabs>
        <w:spacing w:line="560" w:lineRule="exact"/>
        <w:ind w:firstLine="360" w:firstLineChars="150"/>
        <w:rPr>
          <w:rFonts w:ascii="仿宋" w:hAnsi="仿宋" w:eastAsia="仿宋" w:cs="仿宋"/>
          <w:szCs w:val="24"/>
        </w:rPr>
      </w:pPr>
      <w:r>
        <w:rPr>
          <w:rFonts w:hint="eastAsia" w:ascii="仿宋" w:hAnsi="仿宋" w:eastAsia="仿宋" w:cs="仿宋"/>
          <w:szCs w:val="24"/>
        </w:rPr>
        <w:t>实现公司制度管理的体系化、规范化、流程化，提高制度管理的有效性和适应性。通过制度类流程实现文件新增、修订、升版、废除等过程管理，达到企业规范化管理和发展的需要，为各项工作有条不紊地开展提供了坚实的制度保障。</w:t>
      </w:r>
    </w:p>
    <w:p>
      <w:pPr>
        <w:pStyle w:val="5"/>
        <w:spacing w:line="560" w:lineRule="exact"/>
        <w:rPr>
          <w:rFonts w:ascii="黑体" w:hAnsi="黑体" w:eastAsia="黑体" w:cs="黑体"/>
          <w:b w:val="0"/>
          <w:sz w:val="28"/>
        </w:rPr>
      </w:pPr>
      <w:r>
        <w:rPr>
          <w:rFonts w:hint="eastAsia" w:ascii="黑体" w:hAnsi="黑体" w:eastAsia="黑体" w:cs="黑体"/>
          <w:b w:val="0"/>
          <w:sz w:val="28"/>
        </w:rPr>
        <w:t>文档范本管理</w:t>
      </w:r>
    </w:p>
    <w:p>
      <w:pPr>
        <w:tabs>
          <w:tab w:val="left" w:pos="720"/>
          <w:tab w:val="left" w:pos="840"/>
        </w:tabs>
        <w:spacing w:line="560" w:lineRule="exact"/>
        <w:ind w:firstLine="360" w:firstLineChars="150"/>
        <w:rPr>
          <w:rFonts w:ascii="仿宋" w:hAnsi="仿宋" w:eastAsia="仿宋" w:cs="仿宋"/>
          <w:szCs w:val="24"/>
        </w:rPr>
      </w:pPr>
      <w:r>
        <w:rPr>
          <w:rFonts w:hint="eastAsia" w:ascii="仿宋" w:hAnsi="仿宋" w:eastAsia="仿宋" w:cs="仿宋"/>
          <w:szCs w:val="24"/>
        </w:rPr>
        <w:t>按树状目录的形式存放和标注一份文档知识它所处于的位置，使工作人员能以最快的速度能找到并使用。“层次化”管理各种文档，将各种档案数据分门别类进行层次化的目录管理，以及使用关键字或全文索引，方便员工检索和查阅文档。实现对文档处理周期的管理，包括文档的撰写、审阅、批准、发布、存档等各个环节。对文档进行版本控制，保证所访问的是最新和有效的文档，实现文档处理过程的工作流自动化。同时以信息技术的手段对各种文档实行分层次、分级别的权限管理，通过系统日志等手段对重要文档的使用情况进行监督管理。</w:t>
      </w:r>
    </w:p>
    <w:p>
      <w:pPr>
        <w:pStyle w:val="4"/>
        <w:spacing w:line="560" w:lineRule="exact"/>
        <w:rPr>
          <w:rFonts w:hAnsi="黑体" w:cs="黑体"/>
        </w:rPr>
      </w:pPr>
      <w:bookmarkStart w:id="93" w:name="_Toc17331"/>
      <w:r>
        <w:rPr>
          <w:rFonts w:hint="eastAsia" w:hAnsi="黑体" w:cs="黑体"/>
        </w:rPr>
        <w:t>日常办公管理</w:t>
      </w:r>
      <w:bookmarkEnd w:id="93"/>
    </w:p>
    <w:p>
      <w:pPr>
        <w:pStyle w:val="5"/>
        <w:spacing w:line="560" w:lineRule="exact"/>
        <w:rPr>
          <w:rFonts w:ascii="黑体" w:hAnsi="黑体" w:eastAsia="黑体" w:cs="黑体"/>
          <w:b w:val="0"/>
          <w:sz w:val="28"/>
        </w:rPr>
      </w:pPr>
      <w:r>
        <w:rPr>
          <w:rFonts w:hint="eastAsia" w:ascii="黑体" w:hAnsi="黑体" w:eastAsia="黑体" w:cs="黑体"/>
          <w:b w:val="0"/>
          <w:sz w:val="28"/>
        </w:rPr>
        <w:t>日程管理</w:t>
      </w:r>
    </w:p>
    <w:p>
      <w:pPr>
        <w:numPr>
          <w:ilvl w:val="0"/>
          <w:numId w:val="20"/>
        </w:numPr>
        <w:tabs>
          <w:tab w:val="left" w:pos="720"/>
          <w:tab w:val="left" w:pos="840"/>
        </w:tabs>
        <w:spacing w:line="560" w:lineRule="exact"/>
        <w:ind w:firstLine="480" w:firstLineChars="0"/>
        <w:rPr>
          <w:rFonts w:ascii="仿宋_GB2312" w:hAnsi="仿宋_GB2312" w:eastAsia="仿宋_GB2312" w:cs="仿宋_GB2312"/>
          <w:sz w:val="32"/>
          <w:szCs w:val="32"/>
        </w:rPr>
      </w:pPr>
      <w:r>
        <w:rPr>
          <w:rFonts w:hint="eastAsia" w:ascii="仿宋" w:hAnsi="仿宋" w:eastAsia="仿宋" w:cs="仿宋"/>
          <w:szCs w:val="24"/>
        </w:rPr>
        <w:t>实时管理个人日程，实现按照时间资源进行个人日程汇总，如请假、出差、会议、任务、工作安排等自动汇总到个人日程，同时实现移动终端上自动查看个人日程。</w:t>
      </w:r>
    </w:p>
    <w:p>
      <w:pPr>
        <w:pStyle w:val="5"/>
        <w:spacing w:line="560" w:lineRule="exact"/>
        <w:rPr>
          <w:rFonts w:ascii="黑体" w:hAnsi="黑体" w:eastAsia="黑体" w:cs="黑体"/>
          <w:b w:val="0"/>
          <w:sz w:val="28"/>
        </w:rPr>
      </w:pPr>
      <w:r>
        <w:rPr>
          <w:rFonts w:hint="eastAsia" w:ascii="黑体" w:hAnsi="黑体" w:eastAsia="黑体" w:cs="黑体"/>
          <w:b w:val="0"/>
          <w:sz w:val="28"/>
        </w:rPr>
        <w:t>邮箱管理</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提供邮件支持，针对一些审批或者需沟通事项可直接发送邮件。（邮箱管理系统已另行规划建设）。</w:t>
      </w:r>
    </w:p>
    <w:p>
      <w:pPr>
        <w:pStyle w:val="5"/>
        <w:spacing w:line="560" w:lineRule="exact"/>
        <w:rPr>
          <w:rFonts w:ascii="黑体" w:hAnsi="黑体" w:eastAsia="黑体" w:cs="黑体"/>
          <w:b w:val="0"/>
          <w:sz w:val="28"/>
        </w:rPr>
      </w:pPr>
      <w:r>
        <w:rPr>
          <w:rFonts w:hint="eastAsia" w:ascii="黑体" w:hAnsi="黑体" w:eastAsia="黑体" w:cs="黑体"/>
          <w:b w:val="0"/>
          <w:sz w:val="28"/>
        </w:rPr>
        <w:t>即时通讯</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提供给全集团员工之间消息即时沟通及文件共享方面的沟通渠道。支持集团企业微信、建立集团移动端即时沟通渠道等通讯联络方式。</w:t>
      </w:r>
    </w:p>
    <w:p>
      <w:pPr>
        <w:pStyle w:val="5"/>
        <w:spacing w:line="560" w:lineRule="exact"/>
        <w:rPr>
          <w:rFonts w:ascii="黑体" w:hAnsi="黑体" w:eastAsia="黑体" w:cs="黑体"/>
          <w:b w:val="0"/>
          <w:sz w:val="28"/>
        </w:rPr>
      </w:pPr>
      <w:r>
        <w:rPr>
          <w:rFonts w:hint="eastAsia" w:ascii="黑体" w:hAnsi="黑体" w:eastAsia="黑体" w:cs="黑体"/>
          <w:b w:val="0"/>
          <w:sz w:val="28"/>
        </w:rPr>
        <w:t>通讯录管理</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包括通讯录的分类、设置及查询功能，实现通讯方式个人维护，支持不同公司不同部门构建不同通讯录。</w:t>
      </w:r>
    </w:p>
    <w:p>
      <w:pPr>
        <w:pStyle w:val="5"/>
        <w:spacing w:line="560" w:lineRule="exact"/>
        <w:rPr>
          <w:rFonts w:ascii="黑体" w:hAnsi="黑体" w:eastAsia="黑体" w:cs="黑体"/>
          <w:b w:val="0"/>
          <w:sz w:val="28"/>
        </w:rPr>
      </w:pPr>
      <w:r>
        <w:rPr>
          <w:rFonts w:hint="eastAsia" w:ascii="黑体" w:hAnsi="黑体" w:eastAsia="黑体" w:cs="黑体"/>
          <w:b w:val="0"/>
          <w:sz w:val="28"/>
        </w:rPr>
        <w:t>短信支持</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提供短信支持，针对一些紧急事项或者需沟通事项可直接发送短信或通过短信提醒。</w:t>
      </w:r>
    </w:p>
    <w:p>
      <w:pPr>
        <w:pStyle w:val="5"/>
        <w:spacing w:line="560" w:lineRule="exact"/>
        <w:rPr>
          <w:rFonts w:ascii="黑体" w:hAnsi="黑体" w:eastAsia="黑体" w:cs="黑体"/>
          <w:b w:val="0"/>
          <w:sz w:val="28"/>
        </w:rPr>
      </w:pPr>
      <w:r>
        <w:rPr>
          <w:rFonts w:hint="eastAsia" w:ascii="黑体" w:hAnsi="黑体" w:eastAsia="黑体" w:cs="黑体"/>
          <w:b w:val="0"/>
          <w:sz w:val="28"/>
        </w:rPr>
        <w:t>个人设置</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设置用户个人密码，修改联系方式等信息，也可设置出差、休假等用户状态。同时在个人设置中可以定制个性化办公桌面风格。</w:t>
      </w:r>
    </w:p>
    <w:p>
      <w:pPr>
        <w:pStyle w:val="5"/>
        <w:spacing w:line="560" w:lineRule="exact"/>
        <w:rPr>
          <w:rFonts w:ascii="黑体" w:hAnsi="黑体" w:eastAsia="黑体" w:cs="黑体"/>
          <w:b w:val="0"/>
          <w:sz w:val="28"/>
        </w:rPr>
      </w:pPr>
      <w:r>
        <w:rPr>
          <w:rFonts w:hint="eastAsia" w:ascii="黑体" w:hAnsi="黑体" w:eastAsia="黑体" w:cs="黑体"/>
          <w:b w:val="0"/>
          <w:sz w:val="28"/>
        </w:rPr>
        <w:t>移动办公应用管理</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平台中移动应用须提供包括手机、平板电脑（支持IOS和安卓系列）等APP应用，支持在这些移动终端上进行移动办公。</w:t>
      </w:r>
    </w:p>
    <w:p>
      <w:pPr>
        <w:pStyle w:val="5"/>
        <w:spacing w:line="560" w:lineRule="exact"/>
        <w:rPr>
          <w:rFonts w:ascii="黑体" w:hAnsi="黑体" w:eastAsia="黑体" w:cs="黑体"/>
          <w:b w:val="0"/>
          <w:sz w:val="28"/>
        </w:rPr>
      </w:pPr>
      <w:r>
        <w:rPr>
          <w:rFonts w:hint="eastAsia" w:ascii="黑体" w:hAnsi="黑体" w:eastAsia="黑体" w:cs="黑体"/>
          <w:b w:val="0"/>
          <w:sz w:val="28"/>
        </w:rPr>
        <w:t>移动安全</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支持通过移动终端的设备绑定方式来控制移动设备的安全性，并且支持多种安全验证方式来进行移动办公。</w:t>
      </w:r>
    </w:p>
    <w:p>
      <w:pPr>
        <w:pStyle w:val="5"/>
        <w:spacing w:line="560" w:lineRule="exact"/>
        <w:rPr>
          <w:rFonts w:ascii="黑体" w:hAnsi="黑体" w:eastAsia="黑体" w:cs="黑体"/>
          <w:b w:val="0"/>
          <w:sz w:val="28"/>
        </w:rPr>
      </w:pPr>
      <w:r>
        <w:rPr>
          <w:rFonts w:hint="eastAsia" w:ascii="黑体" w:hAnsi="黑体" w:eastAsia="黑体" w:cs="黑体"/>
          <w:b w:val="0"/>
          <w:sz w:val="28"/>
        </w:rPr>
        <w:t>移动门户</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移动门户提供了一个全新企业信息手机端入口，企业内部相关的信息可以让所有人随手可得、随手可知。新闻、公告、待办、文件、留言、任务、会议…，所有这些信息都将根据每一个人的岗位进行个性化推送。</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移动门户自定义: 包括门户的布局、门户的UI、门户的菜单、门户的信息来源、移动门户的组件、内容元素，更为重要的通过集成引擎可以让移动门户能够集成其他异构系统统一展现到手机门户上。</w:t>
      </w:r>
    </w:p>
    <w:p>
      <w:pPr>
        <w:pStyle w:val="5"/>
        <w:spacing w:line="560" w:lineRule="exact"/>
        <w:rPr>
          <w:rFonts w:ascii="黑体" w:hAnsi="黑体" w:eastAsia="黑体" w:cs="黑体"/>
          <w:b w:val="0"/>
          <w:sz w:val="28"/>
        </w:rPr>
      </w:pPr>
      <w:r>
        <w:rPr>
          <w:rFonts w:hint="eastAsia" w:ascii="黑体" w:hAnsi="黑体" w:eastAsia="黑体" w:cs="黑体"/>
          <w:b w:val="0"/>
          <w:sz w:val="28"/>
        </w:rPr>
        <w:t>公文审批</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提供在移动终端上进行公文审批，支持手写批注、手写签名、语音等审批，并能够在移动终端上查看到公文信息、正文信息、流程目前停留的节点状态及每个环节处理时间周期。</w:t>
      </w:r>
    </w:p>
    <w:p>
      <w:pPr>
        <w:pStyle w:val="5"/>
        <w:spacing w:line="560" w:lineRule="exact"/>
        <w:rPr>
          <w:rFonts w:ascii="黑体" w:hAnsi="黑体" w:eastAsia="黑体" w:cs="黑体"/>
          <w:b w:val="0"/>
          <w:sz w:val="28"/>
        </w:rPr>
      </w:pPr>
      <w:r>
        <w:rPr>
          <w:rFonts w:hint="eastAsia" w:ascii="黑体" w:hAnsi="黑体" w:eastAsia="黑体" w:cs="黑体"/>
          <w:b w:val="0"/>
          <w:sz w:val="28"/>
        </w:rPr>
        <w:t>移动审批</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在移动终端上进行流程申请及审批、支持手写批注、手写签名、语音等审批，并能够在移动终端上支持与流程相关的信息关联透视，如合同审批流程关联签报流程，需要在合同审批流程上直接打开相关签报进行关联查看。</w:t>
      </w:r>
    </w:p>
    <w:p>
      <w:pPr>
        <w:pStyle w:val="5"/>
        <w:spacing w:line="560" w:lineRule="exact"/>
        <w:rPr>
          <w:rFonts w:ascii="黑体" w:hAnsi="黑体" w:eastAsia="黑体" w:cs="黑体"/>
          <w:b w:val="0"/>
          <w:sz w:val="28"/>
        </w:rPr>
      </w:pPr>
      <w:r>
        <w:rPr>
          <w:rFonts w:hint="eastAsia" w:ascii="黑体" w:hAnsi="黑体" w:eastAsia="黑体" w:cs="黑体"/>
          <w:b w:val="0"/>
          <w:sz w:val="28"/>
        </w:rPr>
        <w:t>移动文档查阅</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提供在移动终端上查看本人有权限的文档信息，支持office及PDF格式进行打开。</w:t>
      </w:r>
    </w:p>
    <w:p>
      <w:pPr>
        <w:pStyle w:val="5"/>
        <w:spacing w:line="560" w:lineRule="exact"/>
        <w:rPr>
          <w:rFonts w:ascii="黑体" w:hAnsi="黑体" w:eastAsia="黑体" w:cs="黑体"/>
          <w:b w:val="0"/>
          <w:sz w:val="28"/>
        </w:rPr>
      </w:pPr>
      <w:r>
        <w:rPr>
          <w:rFonts w:hint="eastAsia" w:ascii="黑体" w:hAnsi="黑体" w:eastAsia="黑体" w:cs="黑体"/>
          <w:b w:val="0"/>
          <w:sz w:val="28"/>
        </w:rPr>
        <w:t>移动日程</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实现系统日程与手机日历进行日程安排双向同步，实现通过手机日历就能对领导一周工作安排进行提醒。</w:t>
      </w:r>
    </w:p>
    <w:p>
      <w:pPr>
        <w:pStyle w:val="5"/>
        <w:spacing w:line="560" w:lineRule="exact"/>
        <w:rPr>
          <w:rFonts w:ascii="仿宋_GB2312" w:hAnsi="仿宋_GB2312" w:eastAsia="仿宋_GB2312" w:cs="仿宋_GB2312"/>
          <w:sz w:val="32"/>
          <w:szCs w:val="32"/>
        </w:rPr>
      </w:pPr>
      <w:r>
        <w:rPr>
          <w:rFonts w:hint="eastAsia" w:ascii="黑体" w:hAnsi="黑体" w:eastAsia="黑体" w:cs="黑体"/>
          <w:b w:val="0"/>
          <w:sz w:val="28"/>
        </w:rPr>
        <w:t>移动会议</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提供在移动终端上查看一周工作安排、个人会议安排、会议提醒、会议地图导航等。</w:t>
      </w:r>
    </w:p>
    <w:p>
      <w:pPr>
        <w:pStyle w:val="5"/>
        <w:spacing w:line="560" w:lineRule="exact"/>
        <w:rPr>
          <w:rFonts w:ascii="黑体" w:hAnsi="黑体" w:eastAsia="黑体" w:cs="黑体"/>
          <w:b w:val="0"/>
          <w:sz w:val="28"/>
        </w:rPr>
      </w:pPr>
      <w:r>
        <w:rPr>
          <w:rFonts w:hint="eastAsia" w:ascii="黑体" w:hAnsi="黑体" w:eastAsia="黑体" w:cs="黑体"/>
          <w:b w:val="0"/>
          <w:sz w:val="28"/>
        </w:rPr>
        <w:t>移动新闻公告</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提供移动端直接动态推送集团相关信息及公告。</w:t>
      </w:r>
    </w:p>
    <w:p>
      <w:pPr>
        <w:pStyle w:val="5"/>
        <w:spacing w:line="560" w:lineRule="exact"/>
        <w:rPr>
          <w:rFonts w:ascii="黑体" w:hAnsi="黑体" w:eastAsia="黑体" w:cs="黑体"/>
          <w:b w:val="0"/>
          <w:sz w:val="28"/>
        </w:rPr>
      </w:pPr>
      <w:r>
        <w:rPr>
          <w:rFonts w:hint="eastAsia" w:ascii="黑体" w:hAnsi="黑体" w:eastAsia="黑体" w:cs="黑体"/>
          <w:b w:val="0"/>
          <w:sz w:val="28"/>
        </w:rPr>
        <w:t>移动搜索</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根据员工岗位权限，提供在移动终端一键搜索相关的流程，文档、日程安排、培训等信息，实现员工在移动终端的自助。</w:t>
      </w:r>
    </w:p>
    <w:p>
      <w:pPr>
        <w:pStyle w:val="5"/>
        <w:spacing w:line="560" w:lineRule="exact"/>
        <w:rPr>
          <w:rFonts w:ascii="黑体" w:hAnsi="黑体" w:eastAsia="黑体" w:cs="黑体"/>
          <w:b w:val="0"/>
          <w:sz w:val="28"/>
        </w:rPr>
      </w:pPr>
      <w:r>
        <w:rPr>
          <w:rFonts w:hint="eastAsia" w:ascii="黑体" w:hAnsi="黑体" w:eastAsia="黑体" w:cs="黑体"/>
          <w:b w:val="0"/>
          <w:sz w:val="28"/>
        </w:rPr>
        <w:t>移动扩展功能</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实现移动任务、移动邮件、移动通讯录、移动考勤、内部IAM沟通、移动报表等。</w:t>
      </w:r>
    </w:p>
    <w:p>
      <w:pPr>
        <w:pStyle w:val="5"/>
        <w:spacing w:line="560" w:lineRule="exact"/>
        <w:rPr>
          <w:rFonts w:ascii="黑体" w:hAnsi="黑体" w:eastAsia="黑体" w:cs="黑体"/>
          <w:b w:val="0"/>
          <w:sz w:val="28"/>
        </w:rPr>
      </w:pPr>
      <w:r>
        <w:rPr>
          <w:rFonts w:hint="eastAsia" w:ascii="黑体" w:hAnsi="黑体" w:eastAsia="黑体" w:cs="黑体"/>
          <w:b w:val="0"/>
          <w:sz w:val="28"/>
        </w:rPr>
        <w:t>移动集成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提供与其他移动应用集成功能，即可在数字化办公平台移动端中打开其他系统的移动应用。</w:t>
      </w:r>
    </w:p>
    <w:p>
      <w:pPr>
        <w:pStyle w:val="5"/>
        <w:spacing w:line="560" w:lineRule="exact"/>
        <w:rPr>
          <w:rFonts w:ascii="黑体" w:hAnsi="黑体" w:eastAsia="黑体" w:cs="黑体"/>
          <w:b w:val="0"/>
          <w:sz w:val="28"/>
        </w:rPr>
      </w:pPr>
      <w:r>
        <w:rPr>
          <w:rFonts w:hint="eastAsia" w:ascii="黑体" w:hAnsi="黑体" w:eastAsia="黑体" w:cs="黑体"/>
          <w:b w:val="0"/>
          <w:sz w:val="28"/>
        </w:rPr>
        <w:t>系统集成平台</w:t>
      </w:r>
    </w:p>
    <w:p>
      <w:pPr>
        <w:spacing w:line="240" w:lineRule="auto"/>
        <w:ind w:firstLine="480"/>
        <w:rPr>
          <w:rFonts w:ascii="仿宋" w:hAnsi="仿宋" w:eastAsia="仿宋" w:cs="仿宋"/>
          <w:szCs w:val="24"/>
        </w:rPr>
      </w:pPr>
      <w:r>
        <w:rPr>
          <w:rFonts w:hint="eastAsia" w:ascii="仿宋" w:hAnsi="仿宋" w:eastAsia="仿宋" w:cs="仿宋"/>
          <w:szCs w:val="24"/>
        </w:rPr>
        <w:t>系统平台的详细要求如下表：</w:t>
      </w:r>
    </w:p>
    <w:tbl>
      <w:tblPr>
        <w:tblStyle w:val="3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4678"/>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序号</w:t>
            </w:r>
          </w:p>
        </w:tc>
        <w:tc>
          <w:tcPr>
            <w:tcW w:w="4678"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内容要求</w:t>
            </w:r>
          </w:p>
        </w:tc>
        <w:tc>
          <w:tcPr>
            <w:tcW w:w="2347"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1</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J2EE三层体系架构：要求基于J2EE开放式技术架构，满足当在线用户数达5000左右规模时，系统应具有可靠性高、稳定性好、开放性好、易于扩展等良好特性</w:t>
            </w:r>
          </w:p>
        </w:tc>
        <w:tc>
          <w:tcPr>
            <w:tcW w:w="2347"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J2EE是Java2 platform，enterprise edition缩写，意为Java2平台企业版。利用J2EE可以部署在不同厂商生产的、但相互兼容的服务器上，具有“编写一次、到处运行”的特性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2</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支持多种操作系统（Windows、Linux、Unix、Aix等）</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3</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支持多种数据库（</w:t>
            </w:r>
            <w:r>
              <w:rPr>
                <w:rFonts w:ascii="仿宋" w:hAnsi="仿宋" w:eastAsia="仿宋" w:cs="仿宋"/>
                <w:szCs w:val="24"/>
              </w:rPr>
              <w:t>Oracle</w:t>
            </w:r>
            <w:r>
              <w:rPr>
                <w:rFonts w:hint="eastAsia" w:ascii="仿宋" w:hAnsi="仿宋" w:eastAsia="仿宋" w:cs="仿宋"/>
                <w:szCs w:val="24"/>
              </w:rPr>
              <w:t>、SQL Server等）</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4</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支持多种中间件（</w:t>
            </w:r>
            <w:r>
              <w:rPr>
                <w:rFonts w:ascii="仿宋" w:hAnsi="仿宋" w:eastAsia="仿宋" w:cs="仿宋"/>
                <w:szCs w:val="24"/>
              </w:rPr>
              <w:t>WebLogic</w:t>
            </w:r>
            <w:r>
              <w:rPr>
                <w:rFonts w:hint="eastAsia" w:ascii="仿宋" w:hAnsi="仿宋" w:eastAsia="仿宋" w:cs="仿宋"/>
                <w:szCs w:val="24"/>
              </w:rPr>
              <w:t>、</w:t>
            </w:r>
            <w:r>
              <w:rPr>
                <w:rFonts w:ascii="仿宋" w:hAnsi="仿宋" w:eastAsia="仿宋" w:cs="仿宋"/>
                <w:szCs w:val="24"/>
              </w:rPr>
              <w:t>WebSphere</w:t>
            </w:r>
            <w:r>
              <w:rPr>
                <w:rFonts w:hint="eastAsia" w:ascii="仿宋" w:hAnsi="仿宋" w:eastAsia="仿宋" w:cs="仿宋"/>
                <w:szCs w:val="24"/>
              </w:rPr>
              <w:t>等）</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5</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具有可扩展性：软件平台不仅能支撑本期要求，而且能支撑日后建设的新应用，可以保证信息化建设的统一性、完整性、融合性，消除信息孤岛</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6</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系统可实现物理集中、逻辑分布的大集中式部署方式，不同子公司在访问同一个地址同时，可实现完全独立的办公应用</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7</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提供二次开发控件/组件</w:t>
            </w:r>
          </w:p>
        </w:tc>
        <w:tc>
          <w:tcPr>
            <w:tcW w:w="2347"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要求提供详细开发指导文档，并可提供二次开发服务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8</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提供复杂的流程设计、表单设计、数据库建表、权限管理、应用程序接口等功能</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9</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所有子系统应该提供联机帮助功能</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10</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提供可增添新功能模块的应用技术接口</w:t>
            </w:r>
          </w:p>
        </w:tc>
        <w:tc>
          <w:tcPr>
            <w:tcW w:w="234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11</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提供开放的邮件系统编程接口，最好集成邮件系统</w:t>
            </w:r>
          </w:p>
        </w:tc>
        <w:tc>
          <w:tcPr>
            <w:tcW w:w="2347"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关注邮件系统是否集成（网易）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12</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可以采用多级安全机制，每级安全都有严格的权限控制保障。必要时，可提供CA认证方式</w:t>
            </w:r>
          </w:p>
        </w:tc>
        <w:tc>
          <w:tcPr>
            <w:tcW w:w="2347"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关注安全认证方式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13</w:t>
            </w:r>
          </w:p>
        </w:tc>
        <w:tc>
          <w:tcPr>
            <w:tcW w:w="46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系统支持多种语言（至少中英文）</w:t>
            </w:r>
          </w:p>
        </w:tc>
        <w:tc>
          <w:tcPr>
            <w:tcW w:w="2347" w:type="dxa"/>
          </w:tcPr>
          <w:p>
            <w:pPr>
              <w:spacing w:line="240" w:lineRule="auto"/>
              <w:ind w:firstLine="0" w:firstLineChars="0"/>
              <w:rPr>
                <w:rFonts w:ascii="仿宋" w:hAnsi="仿宋" w:eastAsia="仿宋" w:cs="仿宋"/>
                <w:szCs w:val="24"/>
              </w:rPr>
            </w:pPr>
          </w:p>
        </w:tc>
      </w:tr>
    </w:tbl>
    <w:p>
      <w:pPr>
        <w:spacing w:line="560" w:lineRule="exact"/>
        <w:ind w:firstLine="640"/>
        <w:rPr>
          <w:rFonts w:ascii="仿宋_GB2312" w:hAnsi="仿宋_GB2312" w:eastAsia="仿宋_GB2312" w:cs="仿宋_GB2312"/>
          <w:sz w:val="32"/>
          <w:szCs w:val="32"/>
        </w:rPr>
      </w:pP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系统集成平台是整个平台后端各种功能的支撑，能够提供各种基于开放标准的集成接口，实现异构系统数据源配置，提供与第三方异构系统集成解决方案，方便与其他业务系统进行无缝集成。并且能够提供各种二次开发组件，提供平台二次开发指引及接口模块说明，针对个性化的开放需求通过二次开放平台提高开发效率，减少代码开发，降低项目二次开发工作量。</w:t>
      </w:r>
    </w:p>
    <w:p>
      <w:pPr>
        <w:pStyle w:val="5"/>
        <w:spacing w:line="560" w:lineRule="exact"/>
        <w:rPr>
          <w:rFonts w:ascii="黑体" w:hAnsi="黑体" w:eastAsia="黑体" w:cs="黑体"/>
          <w:b w:val="0"/>
          <w:sz w:val="28"/>
        </w:rPr>
      </w:pPr>
      <w:r>
        <w:rPr>
          <w:rFonts w:hint="eastAsia" w:ascii="黑体" w:hAnsi="黑体" w:eastAsia="黑体" w:cs="黑体"/>
          <w:b w:val="0"/>
          <w:sz w:val="28"/>
        </w:rPr>
        <w:t>基础数据集成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集团组织和人员信息数据的集成同步。</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单点登录多系统的用户数据集成。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基础数据的集成：人员信息，党员信息，干部信息，组织信息，项目信息，资产信息等。</w:t>
      </w:r>
    </w:p>
    <w:p>
      <w:pPr>
        <w:pStyle w:val="5"/>
        <w:spacing w:line="560" w:lineRule="exact"/>
        <w:rPr>
          <w:rFonts w:ascii="黑体" w:hAnsi="黑体" w:eastAsia="黑体" w:cs="黑体"/>
          <w:b w:val="0"/>
          <w:sz w:val="28"/>
        </w:rPr>
      </w:pPr>
      <w:r>
        <w:rPr>
          <w:rFonts w:hint="eastAsia" w:ascii="黑体" w:hAnsi="黑体" w:eastAsia="黑体" w:cs="黑体"/>
          <w:b w:val="0"/>
          <w:sz w:val="28"/>
        </w:rPr>
        <w:t>页面集成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多种异构系统页面集成到数字化办公平台门户页面。</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业务流程嵌入业务系统界面，异构系统业务流程的对接。</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异构系统的功能直接嵌入到数字化办公平台使用菜单中。</w:t>
      </w:r>
    </w:p>
    <w:p>
      <w:pPr>
        <w:pStyle w:val="5"/>
        <w:spacing w:line="560" w:lineRule="exact"/>
        <w:rPr>
          <w:rFonts w:ascii="黑体" w:hAnsi="黑体" w:eastAsia="黑体" w:cs="黑体"/>
          <w:b w:val="0"/>
          <w:sz w:val="28"/>
        </w:rPr>
      </w:pPr>
      <w:r>
        <w:rPr>
          <w:rFonts w:hint="eastAsia" w:ascii="黑体" w:hAnsi="黑体" w:eastAsia="黑体" w:cs="黑体"/>
          <w:b w:val="0"/>
          <w:sz w:val="28"/>
        </w:rPr>
        <w:t>流程集成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直接读取异构系统数据并自动生成审批工作流。</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异构系统直接触发工作流到数字化办公平台。</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异构系统能够获取数字化办公平台的工作流数据。</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支持与SAP系统业务单据集成。</w:t>
      </w:r>
    </w:p>
    <w:p>
      <w:pPr>
        <w:pStyle w:val="5"/>
        <w:spacing w:line="560" w:lineRule="exact"/>
        <w:rPr>
          <w:rFonts w:ascii="黑体" w:hAnsi="黑体" w:eastAsia="黑体" w:cs="黑体"/>
          <w:b w:val="0"/>
          <w:sz w:val="28"/>
        </w:rPr>
      </w:pPr>
      <w:r>
        <w:rPr>
          <w:rFonts w:hint="eastAsia" w:ascii="黑体" w:hAnsi="黑体" w:eastAsia="黑体" w:cs="黑体"/>
          <w:b w:val="0"/>
          <w:sz w:val="28"/>
        </w:rPr>
        <w:t>业务数据集成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流程流转过程中和异构系统数据交互。</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获取异构系统多类型数据。</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获取异构系统数据形成的统计报表。</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具备ESB总线功能，支持注册webservice接口、</w:t>
      </w:r>
      <w:r>
        <w:rPr>
          <w:rFonts w:ascii="仿宋" w:hAnsi="仿宋" w:eastAsia="仿宋" w:cs="仿宋"/>
          <w:szCs w:val="24"/>
        </w:rPr>
        <w:t>restful</w:t>
      </w:r>
      <w:r>
        <w:rPr>
          <w:rFonts w:hint="eastAsia" w:ascii="仿宋" w:hAnsi="仿宋" w:eastAsia="仿宋" w:cs="仿宋"/>
          <w:szCs w:val="24"/>
        </w:rPr>
        <w:t>接口等，与流程的集成支持配置化即可，无需代码集成。在线查看接口调用情况及日志等。</w:t>
      </w:r>
    </w:p>
    <w:p>
      <w:pPr>
        <w:pStyle w:val="5"/>
        <w:spacing w:line="560" w:lineRule="exact"/>
        <w:rPr>
          <w:rFonts w:ascii="黑体" w:hAnsi="黑体" w:eastAsia="黑体" w:cs="黑体"/>
          <w:b w:val="0"/>
          <w:sz w:val="28"/>
        </w:rPr>
      </w:pPr>
      <w:r>
        <w:rPr>
          <w:rFonts w:hint="eastAsia" w:ascii="黑体" w:hAnsi="黑体" w:eastAsia="黑体" w:cs="黑体"/>
          <w:b w:val="0"/>
          <w:sz w:val="28"/>
        </w:rPr>
        <w:t>文件集成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文件交换接口。</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自定义数据源接口。</w:t>
      </w:r>
    </w:p>
    <w:p>
      <w:pPr>
        <w:numPr>
          <w:ilvl w:val="0"/>
          <w:numId w:val="20"/>
        </w:numPr>
        <w:tabs>
          <w:tab w:val="left" w:pos="720"/>
          <w:tab w:val="left" w:pos="840"/>
        </w:tabs>
        <w:spacing w:line="560" w:lineRule="exact"/>
        <w:ind w:firstLine="480" w:firstLineChars="0"/>
        <w:rPr>
          <w:rFonts w:ascii="仿宋_GB2312" w:hAnsi="仿宋_GB2312" w:eastAsia="仿宋_GB2312" w:cs="仿宋_GB2312"/>
          <w:sz w:val="32"/>
          <w:szCs w:val="32"/>
        </w:rPr>
      </w:pPr>
      <w:r>
        <w:rPr>
          <w:rFonts w:hint="eastAsia" w:ascii="仿宋" w:hAnsi="仿宋" w:eastAsia="仿宋" w:cs="仿宋"/>
          <w:szCs w:val="24"/>
        </w:rPr>
        <w:t>自定义计划任务接口。</w:t>
      </w:r>
    </w:p>
    <w:p>
      <w:pPr>
        <w:pStyle w:val="5"/>
        <w:spacing w:line="560" w:lineRule="exact"/>
        <w:rPr>
          <w:rFonts w:ascii="黑体" w:hAnsi="黑体" w:eastAsia="黑体" w:cs="黑体"/>
          <w:b w:val="0"/>
          <w:sz w:val="28"/>
        </w:rPr>
      </w:pPr>
      <w:r>
        <w:rPr>
          <w:rFonts w:hint="eastAsia" w:ascii="黑体" w:hAnsi="黑体" w:eastAsia="黑体" w:cs="黑体"/>
          <w:b w:val="0"/>
          <w:sz w:val="28"/>
        </w:rPr>
        <w:t>消息集成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提醒消息集成。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通讯消息集成。</w:t>
      </w:r>
    </w:p>
    <w:p>
      <w:pPr>
        <w:numPr>
          <w:ilvl w:val="0"/>
          <w:numId w:val="20"/>
        </w:numPr>
        <w:tabs>
          <w:tab w:val="left" w:pos="720"/>
          <w:tab w:val="left" w:pos="840"/>
        </w:tabs>
        <w:spacing w:line="560" w:lineRule="exact"/>
        <w:ind w:firstLine="480" w:firstLineChars="0"/>
        <w:rPr>
          <w:rFonts w:ascii="仿宋_GB2312" w:hAnsi="仿宋_GB2312" w:eastAsia="仿宋_GB2312" w:cs="仿宋_GB2312"/>
          <w:sz w:val="32"/>
          <w:szCs w:val="32"/>
        </w:rPr>
      </w:pPr>
      <w:r>
        <w:rPr>
          <w:rFonts w:hint="eastAsia" w:ascii="仿宋" w:hAnsi="仿宋" w:eastAsia="仿宋" w:cs="仿宋"/>
          <w:szCs w:val="24"/>
        </w:rPr>
        <w:t>短信API接口集成</w:t>
      </w:r>
      <w:r>
        <w:rPr>
          <w:rFonts w:hint="eastAsia" w:ascii="仿宋_GB2312" w:hAnsi="仿宋_GB2312" w:eastAsia="仿宋_GB2312" w:cs="仿宋_GB2312"/>
          <w:sz w:val="32"/>
          <w:szCs w:val="32"/>
        </w:rPr>
        <w:t>。</w:t>
      </w:r>
    </w:p>
    <w:p>
      <w:pPr>
        <w:pStyle w:val="5"/>
        <w:spacing w:line="560" w:lineRule="exact"/>
        <w:rPr>
          <w:rFonts w:ascii="黑体" w:hAnsi="黑体" w:eastAsia="黑体" w:cs="黑体"/>
          <w:b w:val="0"/>
          <w:sz w:val="28"/>
        </w:rPr>
      </w:pPr>
      <w:r>
        <w:rPr>
          <w:rFonts w:hint="eastAsia" w:ascii="黑体" w:hAnsi="黑体" w:eastAsia="黑体" w:cs="黑体"/>
          <w:b w:val="0"/>
          <w:sz w:val="28"/>
        </w:rPr>
        <w:t>基础引擎平台</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基础引擎平台是四大平台的基础技术标准，为对应用功能的灵活调整及未来扩展提供支撑，整个基础引擎平台分为七大引擎：流程引擎、内容引擎、报表引擎、集成引擎、组织引擎、门户引擎、业务建模移动建模引擎等。</w:t>
      </w:r>
    </w:p>
    <w:p>
      <w:pPr>
        <w:pStyle w:val="5"/>
        <w:spacing w:line="560" w:lineRule="exact"/>
        <w:rPr>
          <w:rFonts w:ascii="黑体" w:hAnsi="黑体" w:eastAsia="黑体" w:cs="黑体"/>
          <w:b w:val="0"/>
          <w:sz w:val="28"/>
        </w:rPr>
      </w:pPr>
      <w:r>
        <w:rPr>
          <w:rFonts w:hint="eastAsia" w:ascii="黑体" w:hAnsi="黑体" w:eastAsia="黑体" w:cs="黑体"/>
          <w:b w:val="0"/>
          <w:sz w:val="28"/>
        </w:rPr>
        <w:t>分级分权引擎</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平台须提供集团总部、子公司多级组织架构的系统权限管理，实现集团企业的分权管理。支持根据用户、组织、岗位、角色等多形式赋予系统功能权限。</w:t>
      </w:r>
    </w:p>
    <w:p>
      <w:pPr>
        <w:tabs>
          <w:tab w:val="left" w:pos="720"/>
          <w:tab w:val="left" w:pos="840"/>
        </w:tabs>
        <w:spacing w:line="560" w:lineRule="exact"/>
        <w:ind w:firstLine="482"/>
        <w:rPr>
          <w:rFonts w:ascii="仿宋" w:hAnsi="仿宋" w:eastAsia="仿宋" w:cs="仿宋"/>
          <w:b/>
          <w:szCs w:val="24"/>
        </w:rPr>
      </w:pPr>
      <w:r>
        <w:rPr>
          <w:rFonts w:hint="eastAsia" w:ascii="仿宋" w:hAnsi="仿宋" w:eastAsia="仿宋" w:cs="仿宋"/>
          <w:b/>
          <w:szCs w:val="24"/>
        </w:rPr>
        <w:t>（1）系统后台维护分权：集中部署，各级公司分权应用</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整个集团实施一套系统，每个成员企业独立维护使用；</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每个成员企业可以有自己的独立的门户风格界面；</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各个成员企业独立维护自己的内容，如组织结构、人事信息、流程、知识目录等；</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可将组织按多个层次和维度（行政、党委、财务、人事维度等）划分，即支持多维组织结构的应用。并可支持一人多岗的应用，让兼职人员分别对应不同的操作权限；</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各个成员企业的数据权限即能相互独立又能互融互通。</w:t>
      </w:r>
    </w:p>
    <w:p>
      <w:pPr>
        <w:tabs>
          <w:tab w:val="left" w:pos="720"/>
          <w:tab w:val="left" w:pos="840"/>
        </w:tabs>
        <w:spacing w:line="560" w:lineRule="exact"/>
        <w:ind w:firstLine="826" w:firstLineChars="343"/>
        <w:rPr>
          <w:rFonts w:ascii="仿宋" w:hAnsi="仿宋" w:eastAsia="仿宋" w:cs="仿宋"/>
          <w:b/>
          <w:szCs w:val="24"/>
        </w:rPr>
      </w:pPr>
      <w:r>
        <w:rPr>
          <w:rFonts w:hint="eastAsia" w:ascii="仿宋" w:hAnsi="仿宋" w:eastAsia="仿宋" w:cs="仿宋"/>
          <w:b/>
          <w:szCs w:val="24"/>
        </w:rPr>
        <w:t>（2）各模块应用分权</w:t>
      </w:r>
    </w:p>
    <w:p>
      <w:pPr>
        <w:numPr>
          <w:ilvl w:val="0"/>
          <w:numId w:val="22"/>
        </w:numPr>
        <w:tabs>
          <w:tab w:val="left" w:pos="720"/>
          <w:tab w:val="left" w:pos="840"/>
        </w:tabs>
        <w:spacing w:line="560" w:lineRule="exact"/>
        <w:ind w:firstLine="480" w:firstLineChars="0"/>
        <w:rPr>
          <w:rFonts w:ascii="仿宋" w:hAnsi="仿宋" w:eastAsia="仿宋" w:cs="仿宋"/>
          <w:bCs/>
          <w:szCs w:val="24"/>
        </w:rPr>
      </w:pPr>
      <w:r>
        <w:rPr>
          <w:rFonts w:hint="eastAsia" w:ascii="仿宋" w:hAnsi="仿宋" w:eastAsia="仿宋" w:cs="仿宋"/>
          <w:bCs/>
          <w:szCs w:val="24"/>
        </w:rPr>
        <w:t>工作流程分权</w:t>
      </w:r>
    </w:p>
    <w:p>
      <w:pPr>
        <w:numPr>
          <w:ilvl w:val="0"/>
          <w:numId w:val="23"/>
        </w:numPr>
        <w:spacing w:line="560" w:lineRule="exact"/>
        <w:ind w:firstLine="480" w:firstLineChars="0"/>
        <w:rPr>
          <w:rFonts w:ascii="仿宋" w:hAnsi="仿宋" w:eastAsia="仿宋" w:cs="仿宋"/>
          <w:bCs/>
          <w:szCs w:val="24"/>
        </w:rPr>
      </w:pPr>
      <w:r>
        <w:rPr>
          <w:rFonts w:hint="eastAsia" w:ascii="仿宋" w:hAnsi="仿宋" w:eastAsia="仿宋" w:cs="仿宋"/>
          <w:bCs/>
          <w:szCs w:val="24"/>
        </w:rPr>
        <w:t>集团总部和下属机构可以有自己独立的流程制度；</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集团总部可以将总部既定的流程复制给下属公司使用；</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集团总部的流程可以下达到下属公司------可以跟踪或者不可以跟踪；</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下属公司的流程可以延伸到集团总部审批---可以跟踪和不可以跟踪。</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知识模块分权</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集团总部和下属机构可以有自己独立的知识库；</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集团总部人员和下属公司人员只能在自己知识库中创建知识；</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集团总部可以将总部的部分知识库分享给下属公司；</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下属公司可以由相关人员将一些知识分享给集团总部。</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组织人员分权</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集团总部和下属公司可以各自维护自身的组织架构，如调整组织架构；</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集团总部和下属公司各自对自身组织人员进行管理。如新增人员或者人员调岗或离职等；</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集团总部和下属公司的组织人员信息能够相互隔离也可相互  透视；</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集团总部：一般员工只能看到集团总部的组织人员信息或者是本部分的人员 信息；</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下属公司：一般员工只能看到公司本部的组织人员信息或者是本部分的人员信息 ；</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对于集团总部需要与下属公司发生业务往来，或者下属公司需要和集团总部沟通的人员，可以开放权限相互可见 。</w:t>
      </w:r>
    </w:p>
    <w:p>
      <w:pPr>
        <w:numPr>
          <w:ilvl w:val="0"/>
          <w:numId w:val="22"/>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其他各应用模块分权</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集团总部和下属机构可以有各自独立的应用模块；</w:t>
      </w:r>
    </w:p>
    <w:p>
      <w:pPr>
        <w:numPr>
          <w:ilvl w:val="0"/>
          <w:numId w:val="23"/>
        </w:numPr>
        <w:spacing w:line="560" w:lineRule="exact"/>
        <w:ind w:firstLine="480" w:firstLineChars="0"/>
        <w:rPr>
          <w:rFonts w:ascii="仿宋" w:hAnsi="仿宋" w:eastAsia="仿宋" w:cs="仿宋"/>
          <w:szCs w:val="24"/>
        </w:rPr>
      </w:pPr>
      <w:r>
        <w:rPr>
          <w:rFonts w:hint="eastAsia" w:ascii="仿宋" w:hAnsi="仿宋" w:eastAsia="仿宋" w:cs="仿宋"/>
          <w:szCs w:val="24"/>
        </w:rPr>
        <w:t>集团总部可以实时汇总下属公司应用模块数据。</w:t>
      </w:r>
    </w:p>
    <w:p>
      <w:pPr>
        <w:pStyle w:val="5"/>
        <w:spacing w:line="560" w:lineRule="exact"/>
        <w:rPr>
          <w:rFonts w:ascii="黑体" w:hAnsi="黑体" w:eastAsia="黑体" w:cs="黑体"/>
          <w:b w:val="0"/>
          <w:sz w:val="28"/>
        </w:rPr>
      </w:pPr>
      <w:r>
        <w:rPr>
          <w:rFonts w:hint="eastAsia" w:ascii="黑体" w:hAnsi="黑体" w:eastAsia="黑体" w:cs="黑体"/>
          <w:b w:val="0"/>
          <w:sz w:val="28"/>
        </w:rPr>
        <w:t>门户引擎</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支持门户版式自定义，行列数量随意，元素高度、显示条数、内容都可以自定义，门户内的元素可以拖拉拽调整。</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需要有独立的维护权限，不同的门户可以交由不同的人员进行维护，并且门户中不同的元素也可以由不同人员进行维护，以保证每个门户、每个元素都由相应的负责人维护，既可减轻系统管理员的负担，又保证了展示内容的准确性。</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每个门户都有独立的共享权限，不同的门户可以设置不同的查看范围，并且门户中的不同的元素也可以设置共享权限由不同的权限的人员进行查看，同一个元素中不同组织角色的人员看到的内容也是不一样的。</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门户安全要求统一门户平台支撑LDAP、PKI\CA、指纹、附加码、短信、Ukey等多种方式。</w:t>
      </w:r>
    </w:p>
    <w:p>
      <w:pPr>
        <w:pStyle w:val="5"/>
        <w:spacing w:line="560" w:lineRule="exact"/>
        <w:rPr>
          <w:rFonts w:ascii="黑体" w:hAnsi="黑体" w:eastAsia="黑体" w:cs="黑体"/>
          <w:b w:val="0"/>
          <w:sz w:val="28"/>
        </w:rPr>
      </w:pPr>
      <w:r>
        <w:rPr>
          <w:rFonts w:hint="eastAsia" w:ascii="黑体" w:hAnsi="黑体" w:eastAsia="黑体" w:cs="黑体"/>
          <w:b w:val="0"/>
          <w:sz w:val="28"/>
        </w:rPr>
        <w:t>流程引擎</w:t>
      </w:r>
    </w:p>
    <w:p>
      <w:pPr>
        <w:spacing w:line="240" w:lineRule="auto"/>
        <w:ind w:firstLine="480"/>
        <w:rPr>
          <w:rFonts w:ascii="仿宋" w:hAnsi="仿宋" w:eastAsia="仿宋" w:cs="仿宋"/>
          <w:szCs w:val="24"/>
        </w:rPr>
      </w:pPr>
      <w:r>
        <w:rPr>
          <w:rFonts w:hint="eastAsia" w:ascii="仿宋" w:hAnsi="仿宋" w:eastAsia="仿宋" w:cs="仿宋"/>
          <w:szCs w:val="24"/>
        </w:rPr>
        <w:t>流程引擎的详细要求如下表：</w:t>
      </w:r>
    </w:p>
    <w:tbl>
      <w:tblPr>
        <w:tblStyle w:val="3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5670"/>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序号</w:t>
            </w:r>
          </w:p>
        </w:tc>
        <w:tc>
          <w:tcPr>
            <w:tcW w:w="5670"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内容要求</w:t>
            </w:r>
          </w:p>
        </w:tc>
        <w:tc>
          <w:tcPr>
            <w:tcW w:w="1355"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1</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提供图形化工作流自定义设计，可实现流程嵌套，当业务发生变化时，可相应自动进行修改或调整</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2</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提供流程串行处理、并行处理、分发处理功能，并能够设置任意的复杂条件来决定流程的流转方向</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3</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提供图形化的表单设计功能，且同一个业务表单能够绑定多个不同的业务数据表</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4</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对做好的流程和表单能够实现版本控制，能够导入/导出作为恢复/备份</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5</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通过授权让相关部门自行管理自己的流程和收发文件，实现流程和表单的权限下放</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6</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可以按照角色设置/分配权限</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7</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按部门、角色、人员对所有用户进行系统资源的授权</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8</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提供图形化的流程定制工具，可直观快捷地创建并显示</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9</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对流程的每个步骤进行表单绑定、角色设置、动作设定和权限控制，并对不同的流程设置相应的查看、修改、控制权限</w:t>
            </w:r>
          </w:p>
        </w:tc>
        <w:tc>
          <w:tcPr>
            <w:tcW w:w="1355"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tcPr>
          <w:p>
            <w:pPr>
              <w:spacing w:line="240" w:lineRule="auto"/>
              <w:ind w:firstLine="480"/>
              <w:rPr>
                <w:rFonts w:ascii="仿宋" w:hAnsi="仿宋" w:eastAsia="仿宋" w:cs="仿宋"/>
                <w:szCs w:val="24"/>
              </w:rPr>
            </w:pPr>
            <w:r>
              <w:rPr>
                <w:rFonts w:hint="eastAsia" w:ascii="仿宋" w:hAnsi="仿宋" w:eastAsia="仿宋" w:cs="仿宋"/>
                <w:szCs w:val="24"/>
              </w:rPr>
              <w:t>10</w:t>
            </w:r>
          </w:p>
        </w:tc>
        <w:tc>
          <w:tcPr>
            <w:tcW w:w="567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表单实现目录管理，并提供表单模版库</w:t>
            </w:r>
          </w:p>
        </w:tc>
        <w:tc>
          <w:tcPr>
            <w:tcW w:w="1355" w:type="dxa"/>
          </w:tcPr>
          <w:p>
            <w:pPr>
              <w:spacing w:line="240" w:lineRule="auto"/>
              <w:ind w:firstLine="480"/>
              <w:rPr>
                <w:rFonts w:ascii="仿宋" w:hAnsi="仿宋" w:eastAsia="仿宋" w:cs="仿宋"/>
                <w:szCs w:val="24"/>
              </w:rPr>
            </w:pPr>
          </w:p>
        </w:tc>
      </w:tr>
    </w:tbl>
    <w:p>
      <w:pPr>
        <w:spacing w:line="560" w:lineRule="exact"/>
        <w:ind w:firstLine="640"/>
        <w:rPr>
          <w:rFonts w:ascii="仿宋_GB2312" w:hAnsi="仿宋_GB2312" w:eastAsia="仿宋_GB2312" w:cs="仿宋_GB2312"/>
          <w:sz w:val="32"/>
          <w:szCs w:val="32"/>
        </w:rPr>
      </w:pP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提供图形化工作流自定义设计，可实现流程嵌套，当组织、岗位发生变化时，可相应进行批量修改或调整。</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提供流程串行、并行、分发处理功能，并能够设置任意的复杂条件来决定流程的流转方向。</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提供图形化的表单设计功能，且同一个业务表单能够绑定多个不同的业务数据表。</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对于流程审批节点可以设定独立的表单显示样式及表单字段权限，以及移动端也能支持独立设置表单显示样式。</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对做好的流程和表单能够实现版本控制，能够导入/导出/备份。</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流程批量维护功能，后续组织架构及人员调整，系统能够批量进行调整。</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流程模拟测试功能，流程通过后台进行真实场景的模拟测试，可以模拟人员身份进行单流程测试，打开对应审批表单或编辑表单内容提交及审核，减少流程配置出错率。</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通过授权可让相关部门及下属机构自行管理自己的流程和文件，实现流程和表单的权限下放。</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对流程的每个步骤进行表单绑定、角色设置、动作设定和权限控制，并对不同的流程设置相应的查看、修改、控制权限。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表单实现目录管理，并提供表单模版库。</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工作流程需与要求的相关管理模块实现字段或属性关联；通过流程流转实现信息及数据与各个应用模块的协同。</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提供流程提醒、邮件提醒、短信提醒、即时消息提醒等多种提醒方式，即能够与邮件系统、短信平台集成，支持发送邮件、短信及即时消息。</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可以随时监控流程的流转情况，针对一些流程异常情况需提供提醒，便于流程负责人及时干预。</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提供针对流程审批相关的分析查询报表功能，实现流程的报表分析功能，对流程流转的数据可实现快速统计分析及流程流转过程中的各种效率分析。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必须为基于SOA架构的BPM技术平台，支持</w:t>
      </w:r>
      <w:r>
        <w:rPr>
          <w:rFonts w:ascii="仿宋" w:hAnsi="仿宋" w:eastAsia="仿宋" w:cs="仿宋"/>
          <w:szCs w:val="24"/>
        </w:rPr>
        <w:t>Webservice</w:t>
      </w:r>
      <w:r>
        <w:rPr>
          <w:rFonts w:hint="eastAsia" w:ascii="仿宋" w:hAnsi="仿宋" w:eastAsia="仿宋" w:cs="仿宋"/>
          <w:szCs w:val="24"/>
        </w:rPr>
        <w:t>。</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流程引擎必须具备的核心技术（包括但不限于）。</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具备可视化流程自定义建模工具，友好的图形化展示界面。</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流程图形化设计功能必须支持拖拽操作，维护人员级别的流程自定义。选择性支持业务人员零代码级别的流程自定义。</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流程模板支持导入、导出，版本控制管理。</w:t>
      </w:r>
    </w:p>
    <w:p>
      <w:pPr>
        <w:pStyle w:val="5"/>
        <w:spacing w:line="560" w:lineRule="exact"/>
        <w:rPr>
          <w:rFonts w:ascii="黑体" w:hAnsi="黑体" w:eastAsia="黑体" w:cs="黑体"/>
          <w:b w:val="0"/>
          <w:sz w:val="28"/>
        </w:rPr>
      </w:pPr>
      <w:r>
        <w:rPr>
          <w:rFonts w:hint="eastAsia" w:ascii="黑体" w:hAnsi="黑体" w:eastAsia="黑体" w:cs="黑体"/>
          <w:b w:val="0"/>
          <w:sz w:val="28"/>
        </w:rPr>
        <w:t>报表引擎</w:t>
      </w:r>
    </w:p>
    <w:p>
      <w:pPr>
        <w:spacing w:line="240" w:lineRule="auto"/>
        <w:ind w:firstLine="480"/>
        <w:rPr>
          <w:rFonts w:ascii="仿宋" w:hAnsi="仿宋" w:eastAsia="仿宋" w:cs="仿宋"/>
          <w:szCs w:val="24"/>
        </w:rPr>
      </w:pPr>
      <w:r>
        <w:rPr>
          <w:rFonts w:hint="eastAsia" w:ascii="仿宋" w:hAnsi="仿宋" w:eastAsia="仿宋" w:cs="仿宋"/>
          <w:szCs w:val="24"/>
        </w:rPr>
        <w:t>报表引擎的详细要求如下表：</w:t>
      </w:r>
    </w:p>
    <w:tbl>
      <w:tblPr>
        <w:tblStyle w:val="34"/>
        <w:tblW w:w="84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5"/>
        <w:gridCol w:w="4178"/>
        <w:gridCol w:w="2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435"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序号</w:t>
            </w:r>
          </w:p>
        </w:tc>
        <w:tc>
          <w:tcPr>
            <w:tcW w:w="4178"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内容要求</w:t>
            </w:r>
          </w:p>
        </w:tc>
        <w:tc>
          <w:tcPr>
            <w:tcW w:w="2807" w:type="dxa"/>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1435" w:type="dxa"/>
          </w:tcPr>
          <w:p>
            <w:pPr>
              <w:spacing w:line="240" w:lineRule="auto"/>
              <w:ind w:firstLine="480"/>
              <w:rPr>
                <w:rFonts w:ascii="仿宋" w:hAnsi="仿宋" w:eastAsia="仿宋" w:cs="仿宋"/>
                <w:szCs w:val="24"/>
              </w:rPr>
            </w:pPr>
            <w:r>
              <w:rPr>
                <w:rFonts w:hint="eastAsia" w:ascii="仿宋" w:hAnsi="仿宋" w:eastAsia="仿宋" w:cs="仿宋"/>
                <w:szCs w:val="24"/>
              </w:rPr>
              <w:t>1</w:t>
            </w:r>
          </w:p>
        </w:tc>
        <w:tc>
          <w:tcPr>
            <w:tcW w:w="41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提供图形化的报表设计功能</w:t>
            </w:r>
          </w:p>
        </w:tc>
        <w:tc>
          <w:tcPr>
            <w:tcW w:w="280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1435" w:type="dxa"/>
          </w:tcPr>
          <w:p>
            <w:pPr>
              <w:spacing w:line="240" w:lineRule="auto"/>
              <w:ind w:firstLine="480"/>
              <w:rPr>
                <w:rFonts w:ascii="仿宋" w:hAnsi="仿宋" w:eastAsia="仿宋" w:cs="仿宋"/>
                <w:szCs w:val="24"/>
              </w:rPr>
            </w:pPr>
            <w:r>
              <w:rPr>
                <w:rFonts w:hint="eastAsia" w:ascii="仿宋" w:hAnsi="仿宋" w:eastAsia="仿宋" w:cs="仿宋"/>
                <w:szCs w:val="24"/>
              </w:rPr>
              <w:t>2</w:t>
            </w:r>
          </w:p>
        </w:tc>
        <w:tc>
          <w:tcPr>
            <w:tcW w:w="41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提供无缝的报表HTML展示和EXCEL输出</w:t>
            </w:r>
          </w:p>
        </w:tc>
        <w:tc>
          <w:tcPr>
            <w:tcW w:w="280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1435" w:type="dxa"/>
          </w:tcPr>
          <w:p>
            <w:pPr>
              <w:spacing w:line="240" w:lineRule="auto"/>
              <w:ind w:firstLine="480"/>
              <w:rPr>
                <w:rFonts w:ascii="仿宋" w:hAnsi="仿宋" w:eastAsia="仿宋" w:cs="仿宋"/>
                <w:szCs w:val="24"/>
              </w:rPr>
            </w:pPr>
            <w:r>
              <w:rPr>
                <w:rFonts w:hint="eastAsia" w:ascii="仿宋" w:hAnsi="仿宋" w:eastAsia="仿宋" w:cs="仿宋"/>
                <w:szCs w:val="24"/>
              </w:rPr>
              <w:t>3</w:t>
            </w:r>
          </w:p>
        </w:tc>
        <w:tc>
          <w:tcPr>
            <w:tcW w:w="41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能够连接到不同的业务数据库，并制作相应的报表</w:t>
            </w:r>
          </w:p>
        </w:tc>
        <w:tc>
          <w:tcPr>
            <w:tcW w:w="2807" w:type="dxa"/>
          </w:tcPr>
          <w:p>
            <w:pPr>
              <w:spacing w:line="240" w:lineRule="auto"/>
              <w:ind w:firstLine="480"/>
              <w:rPr>
                <w:rFonts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2" w:hRule="atLeast"/>
          <w:jc w:val="center"/>
        </w:trPr>
        <w:tc>
          <w:tcPr>
            <w:tcW w:w="1435" w:type="dxa"/>
          </w:tcPr>
          <w:p>
            <w:pPr>
              <w:spacing w:line="240" w:lineRule="auto"/>
              <w:ind w:firstLine="480"/>
              <w:rPr>
                <w:rFonts w:ascii="仿宋" w:hAnsi="仿宋" w:eastAsia="仿宋" w:cs="仿宋"/>
                <w:szCs w:val="24"/>
              </w:rPr>
            </w:pPr>
            <w:r>
              <w:rPr>
                <w:rFonts w:hint="eastAsia" w:ascii="仿宋" w:hAnsi="仿宋" w:eastAsia="仿宋" w:cs="仿宋"/>
                <w:szCs w:val="24"/>
              </w:rPr>
              <w:t>4</w:t>
            </w:r>
          </w:p>
        </w:tc>
        <w:tc>
          <w:tcPr>
            <w:tcW w:w="4178"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可通过权限设置，确保报表数据的安全性</w:t>
            </w:r>
          </w:p>
        </w:tc>
        <w:tc>
          <w:tcPr>
            <w:tcW w:w="2807" w:type="dxa"/>
          </w:tcPr>
          <w:p>
            <w:pPr>
              <w:spacing w:line="240" w:lineRule="auto"/>
              <w:ind w:firstLine="480"/>
              <w:rPr>
                <w:rFonts w:ascii="仿宋" w:hAnsi="仿宋" w:eastAsia="仿宋" w:cs="仿宋"/>
                <w:szCs w:val="24"/>
              </w:rPr>
            </w:pPr>
          </w:p>
        </w:tc>
      </w:tr>
    </w:tbl>
    <w:p>
      <w:pPr>
        <w:spacing w:line="560" w:lineRule="exact"/>
        <w:ind w:firstLine="0" w:firstLineChars="0"/>
        <w:rPr>
          <w:rFonts w:ascii="仿宋_GB2312" w:hAnsi="仿宋_GB2312" w:eastAsia="仿宋_GB2312" w:cs="仿宋_GB2312"/>
          <w:sz w:val="32"/>
          <w:szCs w:val="32"/>
        </w:rPr>
      </w:pP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要求报表子系统不依赖于某个系统而存在，它作为一个通用的工具，能为各个系统提供报表服务，能够平滑的嵌入本次系统建设的各个业务系统中。要求基于B/S架构开发，用户端只要有浏览器就能够浏览报表、图表等信息。</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提供可视化的报表设计功能，操作方法和 Excel 等电子表格程序类似，可以方便的设计业务报表和统计报表。</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要求支持各种常见的格式，包括表格，直方图、饼图等多种格式的图表；支持多种统计方式；提供序列号、当前用户、当前日期等多种计算字段；支持常见的 Excel 计算函数。</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报表的结果可以另存为 Excel 电子表格或 HTML 格式的文件。</w:t>
      </w:r>
    </w:p>
    <w:p>
      <w:pPr>
        <w:pStyle w:val="5"/>
        <w:spacing w:line="560" w:lineRule="exact"/>
        <w:rPr>
          <w:rFonts w:ascii="黑体" w:hAnsi="黑体" w:eastAsia="黑体" w:cs="黑体"/>
          <w:b w:val="0"/>
          <w:sz w:val="28"/>
        </w:rPr>
      </w:pPr>
      <w:r>
        <w:rPr>
          <w:rFonts w:hint="eastAsia" w:ascii="黑体" w:hAnsi="黑体" w:eastAsia="黑体" w:cs="黑体"/>
          <w:b w:val="0"/>
          <w:sz w:val="28"/>
        </w:rPr>
        <w:t>内容引擎</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 xml:space="preserve">能够对集团及下属机构的技术资料、规章制度资料、专业资料、文件档案、标准化文件、项目资料、各种报表等进行统一的管理，并支持多级目录设置功能。 </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支持HTML、Word、Excel等多种在线编辑和保存功能，支持多附件上传。</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提供模板管理功能，文件新建时，可以直接套用模板录入。</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 xml:space="preserve">具有严格的权限控制，可进行下载控制、打印控制、附件容量控制等；支持大容量文件上传和断点续传。 </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 xml:space="preserve">支持灵活的查询，支持全文检索。 </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 xml:space="preserve">提供版本管理功能，文件修改的所有版本都可以查询和统计。 </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提供对这些知识管理的内容（如集团动态报、条线新闻、条线通知）进行发送发放管理功能，定期将知识管理内容发放给指定人员。</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提供公告、通知、新闻、天气、空气质量等富文本信息的发布，支持图片、附件，并支持发布审核，目标人群设定。</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对知识管理的操作如下载操作均需要提供日志查询功能便于进行操作分析。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提供对文档信息的查询统计功能，能够查询统计出文档的数量及使用频率等信息。</w:t>
      </w:r>
    </w:p>
    <w:p>
      <w:pPr>
        <w:pStyle w:val="5"/>
        <w:spacing w:line="560" w:lineRule="exact"/>
        <w:rPr>
          <w:rFonts w:ascii="黑体" w:hAnsi="黑体" w:eastAsia="黑体" w:cs="黑体"/>
          <w:b w:val="0"/>
          <w:sz w:val="28"/>
        </w:rPr>
      </w:pPr>
      <w:r>
        <w:rPr>
          <w:rFonts w:hint="eastAsia" w:ascii="黑体" w:hAnsi="黑体" w:eastAsia="黑体" w:cs="黑体"/>
          <w:b w:val="0"/>
          <w:sz w:val="28"/>
        </w:rPr>
        <w:t>集成引擎</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要求系统能够提供各种基于开放标准的集成接口，实现异构系统数据源配置，提供与第三方异构系统集成解决方案，方便与其他业务系统进行无缝集成。</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要求系统能够提供各种二次开放组件，提供平台二次开发指引及接口模块说明，针对个性化的开放需求通过二次开放平台提供开放效率，减少代码开发，降低项目二次开发工作量。</w:t>
      </w:r>
    </w:p>
    <w:p>
      <w:pPr>
        <w:pStyle w:val="5"/>
        <w:spacing w:line="560" w:lineRule="exact"/>
        <w:rPr>
          <w:rFonts w:ascii="黑体" w:hAnsi="黑体" w:eastAsia="黑体" w:cs="黑体"/>
          <w:b w:val="0"/>
          <w:sz w:val="28"/>
        </w:rPr>
      </w:pPr>
      <w:r>
        <w:rPr>
          <w:rFonts w:hint="eastAsia" w:ascii="黑体" w:hAnsi="黑体" w:eastAsia="黑体" w:cs="黑体"/>
          <w:b w:val="0"/>
          <w:sz w:val="28"/>
        </w:rPr>
        <w:t>低代码建模平台</w:t>
      </w:r>
    </w:p>
    <w:p>
      <w:pPr>
        <w:spacing w:line="560" w:lineRule="exact"/>
        <w:ind w:left="420" w:firstLine="480" w:firstLineChars="0"/>
        <w:rPr>
          <w:rFonts w:ascii="仿宋" w:hAnsi="仿宋" w:eastAsia="仿宋" w:cs="仿宋"/>
          <w:szCs w:val="24"/>
        </w:rPr>
      </w:pPr>
      <w:r>
        <w:rPr>
          <w:rFonts w:hint="eastAsia" w:ascii="仿宋" w:hAnsi="仿宋" w:eastAsia="仿宋" w:cs="仿宋"/>
          <w:szCs w:val="24"/>
        </w:rPr>
        <w:t>平台必须具备业务生成开发工具，以此保障我司在现在及未来可以开发、搭建新增需求的管理模块。业务生成开发工具，需具备强大的二次开发能力，必须有厂商自主开发的平台，而非第三方的平台。要有功能开发设计器，可搭建自定义模块的平台，可以尽量零代码、少代码配置优化系统功能，让系统不断支持集团的发展。业务生成开发工具需实现集团对于分散数据的整合，将相关的信息集中展现出来，支持数据的穿透，这些对于业务数据的管理及基础数据的维护有很大的应用价值。</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模块基础信息设置：对模块的基本信息进行管理；</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页面布局设置：对表单、界面、显示界面等进行管理；</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默认值设置：对字段、数据等默认值进行设置管理；</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权限设置：对模块各项功能进行权限设置；</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编码规则设置：编码设计器用于系统自动生成制定规则编码序列号；</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联动设置：用于实现属性联动和字段联动；</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自定义信息管理：对查询、报表、浏览等进行管理设置；</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接口设置：对批量导入接口、流程数据接口、数据审批接口、页面拓展等进行统一管理；</w:t>
      </w:r>
    </w:p>
    <w:p>
      <w:pPr>
        <w:pStyle w:val="58"/>
        <w:numPr>
          <w:ilvl w:val="0"/>
          <w:numId w:val="24"/>
        </w:numPr>
        <w:spacing w:line="560" w:lineRule="exact"/>
        <w:ind w:firstLineChars="0"/>
        <w:rPr>
          <w:rFonts w:ascii="仿宋" w:hAnsi="仿宋" w:eastAsia="仿宋" w:cs="仿宋"/>
          <w:szCs w:val="24"/>
        </w:rPr>
      </w:pPr>
      <w:r>
        <w:rPr>
          <w:rFonts w:hint="eastAsia" w:ascii="仿宋" w:hAnsi="仿宋" w:eastAsia="仿宋" w:cs="仿宋"/>
          <w:szCs w:val="24"/>
        </w:rPr>
        <w:t>菜单管理：对模块菜单进行管理二次开发完成的模块可在多套系统间导入、导出。</w:t>
      </w:r>
    </w:p>
    <w:p>
      <w:pPr>
        <w:tabs>
          <w:tab w:val="left" w:pos="720"/>
          <w:tab w:val="left" w:pos="840"/>
        </w:tabs>
        <w:spacing w:line="560" w:lineRule="exact"/>
        <w:ind w:firstLine="1097" w:firstLineChars="343"/>
        <w:rPr>
          <w:rFonts w:ascii="仿宋_GB2312" w:hAnsi="仿宋_GB2312" w:eastAsia="仿宋_GB2312" w:cs="仿宋_GB2312"/>
          <w:sz w:val="32"/>
          <w:szCs w:val="32"/>
        </w:rPr>
      </w:pPr>
    </w:p>
    <w:p>
      <w:pPr>
        <w:pStyle w:val="2"/>
        <w:spacing w:line="560" w:lineRule="exact"/>
        <w:rPr>
          <w:rFonts w:hint="eastAsia" w:ascii="方正小标宋简体" w:eastAsia="方正小标宋简体" w:cs="黑体"/>
          <w:b w:val="0"/>
          <w:bCs w:val="0"/>
          <w:sz w:val="44"/>
          <w:szCs w:val="44"/>
        </w:rPr>
      </w:pPr>
      <w:bookmarkStart w:id="94" w:name="_Toc22372"/>
      <w:r>
        <w:rPr>
          <w:rFonts w:hint="eastAsia" w:ascii="方正小标宋简体" w:eastAsia="方正小标宋简体" w:cs="黑体"/>
          <w:b w:val="0"/>
          <w:bCs w:val="0"/>
          <w:kern w:val="0"/>
          <w:sz w:val="44"/>
          <w:szCs w:val="44"/>
        </w:rPr>
        <w:t>非功能性需求</w:t>
      </w:r>
      <w:bookmarkEnd w:id="94"/>
    </w:p>
    <w:p>
      <w:pPr>
        <w:pStyle w:val="3"/>
        <w:spacing w:line="560" w:lineRule="exact"/>
        <w:rPr>
          <w:rFonts w:hAnsi="黑体" w:cs="黑体"/>
        </w:rPr>
      </w:pPr>
      <w:bookmarkStart w:id="95" w:name="_Toc23845"/>
      <w:r>
        <w:rPr>
          <w:rFonts w:hint="eastAsia" w:hAnsi="黑体" w:cs="黑体"/>
        </w:rPr>
        <w:t>数据安全需求</w:t>
      </w:r>
      <w:bookmarkEnd w:id="95"/>
    </w:p>
    <w:p>
      <w:pPr>
        <w:pStyle w:val="58"/>
        <w:numPr>
          <w:ilvl w:val="0"/>
          <w:numId w:val="25"/>
        </w:numPr>
        <w:tabs>
          <w:tab w:val="left" w:pos="720"/>
          <w:tab w:val="left" w:pos="840"/>
        </w:tabs>
        <w:spacing w:line="560" w:lineRule="exact"/>
        <w:ind w:firstLineChars="0"/>
        <w:rPr>
          <w:rFonts w:ascii="仿宋" w:hAnsi="仿宋" w:eastAsia="仿宋" w:cs="仿宋"/>
          <w:szCs w:val="24"/>
        </w:rPr>
      </w:pPr>
      <w:r>
        <w:rPr>
          <w:rFonts w:hint="eastAsia" w:ascii="仿宋" w:hAnsi="仿宋" w:eastAsia="仿宋" w:cs="仿宋"/>
          <w:szCs w:val="24"/>
        </w:rPr>
        <w:t>实现</w:t>
      </w:r>
      <w:r>
        <w:rPr>
          <w:rFonts w:ascii="仿宋" w:hAnsi="仿宋" w:eastAsia="仿宋" w:cs="仿宋"/>
          <w:szCs w:val="24"/>
        </w:rPr>
        <w:t>7</w:t>
      </w:r>
      <w:r>
        <w:rPr>
          <w:rFonts w:hint="eastAsia" w:ascii="仿宋" w:hAnsi="仿宋" w:eastAsia="仿宋" w:cs="仿宋"/>
          <w:szCs w:val="24"/>
        </w:rPr>
        <w:t>*</w:t>
      </w:r>
      <w:r>
        <w:rPr>
          <w:rFonts w:ascii="仿宋" w:hAnsi="仿宋" w:eastAsia="仿宋" w:cs="仿宋"/>
          <w:szCs w:val="24"/>
        </w:rPr>
        <w:t>24</w:t>
      </w:r>
      <w:r>
        <w:rPr>
          <w:rFonts w:hint="eastAsia" w:ascii="仿宋" w:hAnsi="仿宋" w:eastAsia="仿宋" w:cs="仿宋"/>
          <w:szCs w:val="24"/>
        </w:rPr>
        <w:t>小时在线数据服务。</w:t>
      </w:r>
    </w:p>
    <w:p>
      <w:pPr>
        <w:pStyle w:val="58"/>
        <w:numPr>
          <w:ilvl w:val="0"/>
          <w:numId w:val="25"/>
        </w:numPr>
        <w:tabs>
          <w:tab w:val="left" w:pos="720"/>
          <w:tab w:val="left" w:pos="840"/>
        </w:tabs>
        <w:spacing w:line="560" w:lineRule="exact"/>
        <w:ind w:firstLineChars="0"/>
        <w:rPr>
          <w:rFonts w:ascii="仿宋" w:hAnsi="仿宋" w:eastAsia="仿宋" w:cs="仿宋"/>
          <w:szCs w:val="24"/>
        </w:rPr>
      </w:pPr>
      <w:r>
        <w:rPr>
          <w:rFonts w:hint="eastAsia" w:ascii="仿宋" w:hAnsi="仿宋" w:eastAsia="仿宋" w:cs="仿宋"/>
          <w:szCs w:val="24"/>
        </w:rPr>
        <w:t>充分考虑冗余、备份、容灾、故障快速恢复机制。</w:t>
      </w:r>
    </w:p>
    <w:p>
      <w:pPr>
        <w:pStyle w:val="58"/>
        <w:numPr>
          <w:ilvl w:val="0"/>
          <w:numId w:val="25"/>
        </w:numPr>
        <w:tabs>
          <w:tab w:val="left" w:pos="720"/>
          <w:tab w:val="left" w:pos="840"/>
        </w:tabs>
        <w:spacing w:line="560" w:lineRule="exact"/>
        <w:ind w:firstLineChars="0"/>
        <w:rPr>
          <w:rFonts w:ascii="仿宋" w:hAnsi="仿宋" w:eastAsia="仿宋" w:cs="仿宋"/>
          <w:szCs w:val="24"/>
        </w:rPr>
      </w:pPr>
      <w:r>
        <w:rPr>
          <w:rFonts w:hint="eastAsia" w:ascii="仿宋" w:hAnsi="仿宋" w:eastAsia="仿宋" w:cs="仿宋"/>
          <w:szCs w:val="24"/>
        </w:rPr>
        <w:t>通过数据库安全隔离、系统数据的使用规范等措施提升数据安全。</w:t>
      </w:r>
    </w:p>
    <w:p>
      <w:pPr>
        <w:pStyle w:val="3"/>
        <w:spacing w:line="560" w:lineRule="exact"/>
        <w:rPr>
          <w:rFonts w:hAnsi="黑体" w:cs="黑体"/>
        </w:rPr>
      </w:pPr>
      <w:bookmarkStart w:id="96" w:name="_Toc17554"/>
      <w:r>
        <w:rPr>
          <w:rFonts w:hint="eastAsia" w:hAnsi="黑体" w:cs="黑体"/>
        </w:rPr>
        <w:t>系统性能需求</w:t>
      </w:r>
      <w:bookmarkEnd w:id="96"/>
    </w:p>
    <w:p>
      <w:pPr>
        <w:pStyle w:val="4"/>
        <w:spacing w:line="560" w:lineRule="exact"/>
        <w:rPr>
          <w:rFonts w:ascii="仿宋" w:hAnsi="仿宋" w:eastAsia="仿宋" w:cs="仿宋"/>
          <w:sz w:val="24"/>
          <w:szCs w:val="24"/>
        </w:rPr>
      </w:pPr>
      <w:bookmarkStart w:id="97" w:name="_Toc12969"/>
      <w:r>
        <w:rPr>
          <w:rFonts w:hint="eastAsia" w:ascii="仿宋" w:hAnsi="仿宋" w:eastAsia="仿宋" w:cs="仿宋"/>
          <w:sz w:val="24"/>
          <w:szCs w:val="24"/>
        </w:rPr>
        <w:t>稳定性和可靠性</w:t>
      </w:r>
      <w:bookmarkEnd w:id="97"/>
    </w:p>
    <w:p>
      <w:pPr>
        <w:tabs>
          <w:tab w:val="left" w:pos="480"/>
          <w:tab w:val="left" w:pos="840"/>
        </w:tabs>
        <w:spacing w:line="560" w:lineRule="exact"/>
        <w:ind w:firstLine="0" w:firstLineChars="0"/>
        <w:rPr>
          <w:rFonts w:ascii="仿宋" w:hAnsi="仿宋" w:eastAsia="仿宋" w:cs="仿宋"/>
          <w:szCs w:val="24"/>
        </w:rPr>
      </w:pPr>
      <w:r>
        <w:rPr>
          <w:rFonts w:hint="eastAsia" w:ascii="仿宋" w:hAnsi="仿宋" w:eastAsia="仿宋" w:cs="仿宋"/>
          <w:szCs w:val="24"/>
        </w:rPr>
        <w:tab/>
      </w:r>
      <w:r>
        <w:rPr>
          <w:rFonts w:hint="eastAsia" w:ascii="仿宋" w:hAnsi="仿宋" w:eastAsia="仿宋" w:cs="仿宋"/>
          <w:szCs w:val="24"/>
        </w:rPr>
        <w:t>稳定性和可靠性是系统必须具备的最基本的要求。系统应能够连续不断稳定可靠的工作。</w:t>
      </w:r>
    </w:p>
    <w:p>
      <w:pPr>
        <w:tabs>
          <w:tab w:val="left" w:pos="480"/>
          <w:tab w:val="left" w:pos="840"/>
        </w:tabs>
        <w:spacing w:line="560" w:lineRule="exact"/>
        <w:ind w:firstLine="0" w:firstLineChars="0"/>
        <w:rPr>
          <w:rFonts w:ascii="仿宋" w:hAnsi="仿宋" w:eastAsia="仿宋" w:cs="仿宋"/>
          <w:szCs w:val="24"/>
        </w:rPr>
      </w:pPr>
      <w:r>
        <w:rPr>
          <w:rFonts w:hint="eastAsia" w:ascii="仿宋" w:hAnsi="仿宋" w:eastAsia="仿宋" w:cs="仿宋"/>
          <w:szCs w:val="24"/>
        </w:rPr>
        <w:tab/>
      </w:r>
      <w:r>
        <w:rPr>
          <w:rFonts w:hint="eastAsia" w:ascii="仿宋" w:hAnsi="仿宋" w:eastAsia="仿宋" w:cs="仿宋"/>
          <w:szCs w:val="24"/>
        </w:rPr>
        <w:t>软件版本升级或改进应在不影响业务的情况下进行，保证系统可以稳定、平滑过渡。</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业务流程的优化、组织机构和人员的异动及数据统计等必须保证系统稳定可靠运行。</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面向最终用户的单次事务性（例如：页面提交、页面导航等）操作响应时间应小于2 秒（指用户发出指令到收到系统返回结果的时间间隔），对于用户的长时间操作应提供友好的进度提示；厂商应提供系统所能支持满负荷的系统配置及硬件要求，以保障在极端情况下系统延迟响应不能影响正常工作使用。</w:t>
      </w:r>
    </w:p>
    <w:p>
      <w:pPr>
        <w:pStyle w:val="4"/>
        <w:spacing w:line="560" w:lineRule="exact"/>
        <w:rPr>
          <w:rFonts w:ascii="仿宋" w:hAnsi="仿宋" w:eastAsia="仿宋" w:cs="仿宋"/>
          <w:sz w:val="24"/>
          <w:szCs w:val="24"/>
        </w:rPr>
      </w:pPr>
      <w:bookmarkStart w:id="98" w:name="_Toc4092"/>
      <w:r>
        <w:rPr>
          <w:rFonts w:hint="eastAsia" w:ascii="仿宋" w:hAnsi="仿宋" w:eastAsia="仿宋" w:cs="仿宋"/>
          <w:sz w:val="24"/>
          <w:szCs w:val="24"/>
        </w:rPr>
        <w:t>先进性和成熟性</w:t>
      </w:r>
      <w:bookmarkEnd w:id="98"/>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系统设计应采用先进的、成熟的、可持续发展的技术方法，把先进的管理思想和理念与实际工作相结合，具有前瞻性。采用开放的体系结构，通过引入先进、开放的技术和成熟的实施方法，实现主数据管理和应用目标。</w:t>
      </w:r>
    </w:p>
    <w:p>
      <w:pPr>
        <w:pStyle w:val="4"/>
        <w:spacing w:line="560" w:lineRule="exact"/>
        <w:rPr>
          <w:rFonts w:ascii="仿宋" w:hAnsi="仿宋" w:eastAsia="仿宋" w:cs="仿宋"/>
          <w:sz w:val="24"/>
          <w:szCs w:val="24"/>
        </w:rPr>
      </w:pPr>
      <w:bookmarkStart w:id="99" w:name="_Toc814"/>
      <w:r>
        <w:rPr>
          <w:rFonts w:hint="eastAsia" w:ascii="仿宋" w:hAnsi="仿宋" w:eastAsia="仿宋" w:cs="仿宋"/>
          <w:sz w:val="24"/>
          <w:szCs w:val="24"/>
        </w:rPr>
        <w:t>前瞻性和完整性</w:t>
      </w:r>
      <w:bookmarkEnd w:id="99"/>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招标人要求投标人提供的系统平台和架构要具有良好的前瞻性和可扩展性，不仅仅要完全满足本次数字化办公平台建设要求，而且要满足以后对于企业主数据管理理系统功能扩展的要求，保证招标人数字化办公平台建设的一致性、系统性和完整性，系统平台和架构要满足以后</w:t>
      </w:r>
      <w:r>
        <w:rPr>
          <w:rFonts w:hint="eastAsia" w:ascii="仿宋" w:hAnsi="仿宋" w:eastAsia="仿宋" w:cs="仿宋"/>
          <w:color w:val="000000" w:themeColor="text1"/>
          <w:szCs w:val="24"/>
          <w14:textFill>
            <w14:solidFill>
              <w14:schemeClr w14:val="tx1"/>
            </w14:solidFill>
          </w14:textFill>
        </w:rPr>
        <w:t>思明控股集团</w:t>
      </w:r>
      <w:r>
        <w:rPr>
          <w:rFonts w:hint="eastAsia" w:ascii="仿宋" w:hAnsi="仿宋" w:eastAsia="仿宋" w:cs="仿宋"/>
          <w:szCs w:val="24"/>
        </w:rPr>
        <w:t>对主数据管理的需求，确保公司企业级数字化办公平台总体目标的实现。</w:t>
      </w:r>
    </w:p>
    <w:p>
      <w:pPr>
        <w:pStyle w:val="4"/>
        <w:spacing w:line="560" w:lineRule="exact"/>
        <w:rPr>
          <w:rFonts w:ascii="仿宋" w:hAnsi="仿宋" w:eastAsia="仿宋" w:cs="仿宋"/>
          <w:sz w:val="24"/>
          <w:szCs w:val="24"/>
        </w:rPr>
      </w:pPr>
      <w:bookmarkStart w:id="100" w:name="_Toc16973"/>
      <w:r>
        <w:rPr>
          <w:rFonts w:hint="eastAsia" w:ascii="仿宋" w:hAnsi="仿宋" w:eastAsia="仿宋" w:cs="仿宋"/>
          <w:sz w:val="24"/>
          <w:szCs w:val="24"/>
        </w:rPr>
        <w:t>安全性</w:t>
      </w:r>
      <w:bookmarkEnd w:id="100"/>
    </w:p>
    <w:p>
      <w:pPr>
        <w:tabs>
          <w:tab w:val="left" w:pos="720"/>
          <w:tab w:val="left" w:pos="840"/>
        </w:tabs>
        <w:spacing w:line="560" w:lineRule="exact"/>
        <w:ind w:left="60" w:leftChars="25" w:firstLine="480"/>
        <w:rPr>
          <w:rFonts w:ascii="仿宋" w:hAnsi="仿宋" w:eastAsia="仿宋" w:cs="仿宋"/>
          <w:szCs w:val="24"/>
        </w:rPr>
      </w:pPr>
      <w:r>
        <w:rPr>
          <w:rFonts w:hint="eastAsia" w:ascii="仿宋" w:hAnsi="仿宋" w:eastAsia="仿宋" w:cs="仿宋"/>
          <w:szCs w:val="24"/>
        </w:rPr>
        <w:t>系统对于用户的认证和用户权限的分配应以严格区分。用户的认证只负责对于用户是否具备访问系统的权限，而在用户进入系统后所具备的功能访问权限是由权限分配模块完成。</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用户认证应能支持LDAP 认证协议，支持集成CA等认证方式，统一对使用人员进行身份认证。</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权限或授权管理模块应具备灵活性，应具备完备的授权管理机制；授权管理应是基于角色的区分，而不是直接针对用户区分权限，用户的权限是根据用户角色赋予某种或某几种角色权限。用户角色应具备角色继承功能。系统的功能模块，用户界面，数据库访问等应与权限或授权模块直接挂接。角色权限根据项目实际需求控制细度到数据库字段级。</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系统支持基于角色和基于资源的授权方式：支持用户到角色的映射， 并采用角色的身份用来控制对特定操作的访问权，并支持层次化、结构化和区域化的角色设定；系统内所有的资源都应是受保护的，系统能够通过相应的机制决定哪些角色允许访问哪些资源和哪类操作（如读、写、删除、显示等）。</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对于用户的访问操作应记录访问日志，系统管理员可以方便地查询到某一用户在某一时段内对于系统的行为。对于用户的导入导出，添加、删除、更改等操作应记录用户行为日志，保证用户操作的可追踪性。系统支持统一的用户认证和权限管理。</w:t>
      </w:r>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系统需要有对数据源和关键操作（如授权操作）进行追踪的能力；如果系统能提供授权的审核机制，请加以说明。</w:t>
      </w:r>
    </w:p>
    <w:p>
      <w:pPr>
        <w:tabs>
          <w:tab w:val="left" w:pos="720"/>
          <w:tab w:val="left" w:pos="840"/>
        </w:tabs>
        <w:spacing w:line="560" w:lineRule="exact"/>
        <w:ind w:left="840" w:leftChars="200" w:hanging="360" w:hangingChars="150"/>
        <w:rPr>
          <w:rFonts w:ascii="仿宋" w:hAnsi="仿宋" w:eastAsia="仿宋" w:cs="仿宋"/>
          <w:szCs w:val="24"/>
        </w:rPr>
      </w:pPr>
      <w:r>
        <w:rPr>
          <w:rFonts w:hint="eastAsia" w:ascii="仿宋" w:hAnsi="仿宋" w:eastAsia="仿宋" w:cs="仿宋"/>
          <w:szCs w:val="24"/>
        </w:rPr>
        <w:t>获得国家相关安全认证。</w:t>
      </w:r>
    </w:p>
    <w:p>
      <w:pPr>
        <w:pStyle w:val="4"/>
        <w:spacing w:line="560" w:lineRule="exact"/>
        <w:rPr>
          <w:rFonts w:ascii="仿宋" w:hAnsi="仿宋" w:eastAsia="仿宋" w:cs="仿宋"/>
          <w:sz w:val="24"/>
          <w:szCs w:val="24"/>
        </w:rPr>
      </w:pPr>
      <w:bookmarkStart w:id="101" w:name="_Toc19518"/>
      <w:r>
        <w:rPr>
          <w:rFonts w:hint="eastAsia" w:ascii="仿宋" w:hAnsi="仿宋" w:eastAsia="仿宋" w:cs="仿宋"/>
          <w:sz w:val="24"/>
          <w:szCs w:val="24"/>
        </w:rPr>
        <w:t>易用性</w:t>
      </w:r>
      <w:bookmarkEnd w:id="101"/>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系统人机界面友好。操作简单方便，简洁明了，易学易用，切近用户的使用习惯。</w:t>
      </w:r>
    </w:p>
    <w:p>
      <w:pPr>
        <w:pStyle w:val="4"/>
        <w:spacing w:line="560" w:lineRule="exact"/>
        <w:rPr>
          <w:rFonts w:ascii="仿宋" w:hAnsi="仿宋" w:eastAsia="仿宋" w:cs="仿宋"/>
          <w:sz w:val="24"/>
          <w:szCs w:val="24"/>
        </w:rPr>
      </w:pPr>
      <w:bookmarkStart w:id="102" w:name="_Toc25645"/>
      <w:r>
        <w:rPr>
          <w:rFonts w:hint="eastAsia" w:ascii="仿宋" w:hAnsi="仿宋" w:eastAsia="仿宋" w:cs="仿宋"/>
          <w:sz w:val="24"/>
          <w:szCs w:val="24"/>
        </w:rPr>
        <w:t>可管理性</w:t>
      </w:r>
      <w:bookmarkEnd w:id="102"/>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系统应能满足集中和分布式的管理模式，能满足分级管理的需要，以降低管理的成本，提高管理的有效性。</w:t>
      </w:r>
    </w:p>
    <w:p>
      <w:pPr>
        <w:pStyle w:val="4"/>
        <w:spacing w:line="560" w:lineRule="exact"/>
        <w:rPr>
          <w:rFonts w:ascii="仿宋" w:hAnsi="仿宋" w:eastAsia="仿宋" w:cs="仿宋"/>
          <w:sz w:val="24"/>
          <w:szCs w:val="24"/>
        </w:rPr>
      </w:pPr>
      <w:bookmarkStart w:id="103" w:name="_Toc6153"/>
      <w:r>
        <w:rPr>
          <w:rFonts w:hint="eastAsia" w:ascii="仿宋" w:hAnsi="仿宋" w:eastAsia="仿宋" w:cs="仿宋"/>
          <w:sz w:val="24"/>
          <w:szCs w:val="24"/>
        </w:rPr>
        <w:t>可扩展性</w:t>
      </w:r>
      <w:bookmarkEnd w:id="103"/>
    </w:p>
    <w:p>
      <w:pPr>
        <w:tabs>
          <w:tab w:val="left" w:pos="720"/>
          <w:tab w:val="left" w:pos="840"/>
        </w:tabs>
        <w:spacing w:line="560" w:lineRule="exact"/>
        <w:ind w:firstLine="480"/>
        <w:rPr>
          <w:rFonts w:ascii="仿宋" w:hAnsi="仿宋" w:eastAsia="仿宋" w:cs="仿宋"/>
          <w:szCs w:val="24"/>
        </w:rPr>
      </w:pPr>
      <w:r>
        <w:rPr>
          <w:rFonts w:hint="eastAsia" w:ascii="仿宋" w:hAnsi="仿宋" w:eastAsia="仿宋" w:cs="仿宋"/>
          <w:szCs w:val="24"/>
        </w:rPr>
        <w:t>平台具有二次开发扩展功能，能够满足未来集团对于自主需求的扩展。</w:t>
      </w:r>
    </w:p>
    <w:p>
      <w:pPr>
        <w:pStyle w:val="4"/>
        <w:spacing w:line="560" w:lineRule="exact"/>
        <w:rPr>
          <w:rFonts w:ascii="仿宋" w:hAnsi="仿宋" w:eastAsia="仿宋" w:cs="仿宋"/>
          <w:sz w:val="24"/>
          <w:szCs w:val="24"/>
        </w:rPr>
      </w:pPr>
      <w:bookmarkStart w:id="104" w:name="_Toc1169"/>
      <w:r>
        <w:rPr>
          <w:rFonts w:hint="eastAsia" w:ascii="仿宋" w:hAnsi="仿宋" w:eastAsia="仿宋" w:cs="仿宋"/>
          <w:sz w:val="24"/>
          <w:szCs w:val="24"/>
        </w:rPr>
        <w:t>具体性能指标</w:t>
      </w:r>
      <w:bookmarkEnd w:id="104"/>
    </w:p>
    <w:p>
      <w:pPr>
        <w:tabs>
          <w:tab w:val="left" w:pos="480"/>
          <w:tab w:val="left" w:pos="840"/>
        </w:tabs>
        <w:spacing w:line="560" w:lineRule="exact"/>
        <w:ind w:firstLine="0" w:firstLineChars="0"/>
        <w:rPr>
          <w:rFonts w:ascii="仿宋" w:hAnsi="仿宋" w:eastAsia="仿宋" w:cs="仿宋"/>
          <w:szCs w:val="24"/>
        </w:rPr>
      </w:pPr>
      <w:r>
        <w:rPr>
          <w:rFonts w:hint="eastAsia" w:ascii="仿宋" w:hAnsi="仿宋" w:eastAsia="仿宋" w:cs="仿宋"/>
          <w:szCs w:val="24"/>
        </w:rPr>
        <w:tab/>
      </w:r>
      <w:r>
        <w:rPr>
          <w:rFonts w:hint="eastAsia" w:ascii="仿宋" w:hAnsi="仿宋" w:eastAsia="仿宋" w:cs="仿宋"/>
          <w:szCs w:val="24"/>
        </w:rPr>
        <w:t>在网络稳定的环境下系统点击平均等待响应时间小于3秒（在30000注册用户数的环境下）。</w:t>
      </w:r>
    </w:p>
    <w:p>
      <w:pPr>
        <w:pStyle w:val="3"/>
        <w:spacing w:line="560" w:lineRule="exact"/>
        <w:rPr>
          <w:rFonts w:hAnsi="黑体" w:cs="黑体"/>
        </w:rPr>
      </w:pPr>
      <w:bookmarkStart w:id="105" w:name="_Toc7209"/>
      <w:r>
        <w:rPr>
          <w:rFonts w:hint="eastAsia" w:hAnsi="黑体" w:cs="黑体"/>
        </w:rPr>
        <w:t>硬件方面要求</w:t>
      </w:r>
      <w:bookmarkEnd w:id="105"/>
    </w:p>
    <w:p>
      <w:pPr>
        <w:tabs>
          <w:tab w:val="left" w:pos="480"/>
          <w:tab w:val="left" w:pos="840"/>
        </w:tabs>
        <w:spacing w:line="560" w:lineRule="exact"/>
        <w:ind w:firstLine="480"/>
        <w:rPr>
          <w:rFonts w:ascii="仿宋" w:hAnsi="仿宋" w:eastAsia="仿宋" w:cs="仿宋"/>
          <w:szCs w:val="24"/>
        </w:rPr>
      </w:pPr>
      <w:r>
        <w:rPr>
          <w:rFonts w:hint="eastAsia" w:ascii="仿宋" w:hAnsi="仿宋" w:eastAsia="仿宋" w:cs="仿宋"/>
          <w:szCs w:val="24"/>
        </w:rPr>
        <w:t>本次招标范围不包括硬件设备，但投标方必须提供能够满足系统正常运行所需的硬件要求，系统所需的硬件要求在评标过程中将作为重要的参考因素。由投标方所提供的硬件要求不适用所引起的运行问题，投标方必须承担由此产生的责任。投标方案需要提供建议配置所需的硬件及系统环境要求。</w:t>
      </w:r>
    </w:p>
    <w:p>
      <w:pPr>
        <w:pStyle w:val="3"/>
        <w:spacing w:line="560" w:lineRule="exact"/>
        <w:rPr>
          <w:rFonts w:hAnsi="黑体" w:cs="黑体"/>
        </w:rPr>
      </w:pPr>
      <w:bookmarkStart w:id="106" w:name="_Toc5495"/>
      <w:r>
        <w:rPr>
          <w:rFonts w:hint="eastAsia" w:hAnsi="黑体" w:cs="黑体"/>
        </w:rPr>
        <w:t>培训要求</w:t>
      </w:r>
      <w:bookmarkEnd w:id="106"/>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供应商在系统实施过程中，应对思明控股集团员工及系统管理员进行全方位的知识转移，并使思明控股集团具备独立进行项目实施、维护能力。</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开展分层次的人员培训工作，每次培训后应对参加培训人员进行测试，评估培训成果。培训应具有培训教材、培训环境和高水平的培训讲师。</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将知识转移贯穿到项目实施的过程当中，并在每个关键节点列出需要进行知识转移的内容，在关键节点审查中，均对知识转移成果进行评估。</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供应商应将培训工作分成应用级培训和系统级培训两种。应用级培训指一般用户的基础操作培训和部门信息管理员的日常应用维护的培训；系统级培训指对系统管理员进行简单的流程开发培训和系统管理培训。</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供应商应提供培训教材及必要的培训设备，保证培训质量。</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对一般用户的培训应达到的要求：能够熟练使用供应商所开发的软件。</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对部门信息系统管理员的培训应达到的要求：可以维护日常应用方面出现的问题。</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对系统管理员的培训应达到的要求：具有熟练查询各种手册和维护手册的能力；能够对系统级的错误进行初步判断的能力；能够独立安装、调试系统；能够独立进行数据备份与恢复；后续新增流程的调研、设计、搭建、测试；同时保证系统管理员有能力对其他新进人员进行一般应用培训。</w:t>
      </w:r>
    </w:p>
    <w:p>
      <w:pPr>
        <w:numPr>
          <w:ilvl w:val="0"/>
          <w:numId w:val="20"/>
        </w:numPr>
        <w:tabs>
          <w:tab w:val="left" w:pos="720"/>
          <w:tab w:val="left" w:pos="840"/>
        </w:tabs>
        <w:spacing w:line="560" w:lineRule="exact"/>
        <w:ind w:firstLine="480" w:firstLineChars="0"/>
        <w:rPr>
          <w:rFonts w:ascii="仿宋" w:hAnsi="仿宋" w:eastAsia="仿宋" w:cs="仿宋"/>
          <w:szCs w:val="24"/>
        </w:rPr>
      </w:pPr>
      <w:r>
        <w:rPr>
          <w:rFonts w:hint="eastAsia" w:ascii="仿宋" w:hAnsi="仿宋" w:eastAsia="仿宋" w:cs="仿宋"/>
          <w:szCs w:val="24"/>
        </w:rPr>
        <w:t>供应商须列出详细的培训计划（包括培训方式、时间、课程内容、人数、地点、质量保证等）相关条款进行阐述，并提供培训资料。</w:t>
      </w:r>
    </w:p>
    <w:p>
      <w:pPr>
        <w:pStyle w:val="3"/>
        <w:spacing w:line="560" w:lineRule="exact"/>
        <w:rPr>
          <w:rFonts w:hAnsi="黑体" w:cs="黑体"/>
        </w:rPr>
      </w:pPr>
      <w:bookmarkStart w:id="107" w:name="_Toc12672"/>
      <w:r>
        <w:rPr>
          <w:rFonts w:hint="eastAsia" w:hAnsi="黑体" w:cs="黑体"/>
        </w:rPr>
        <w:t>项目实施要求</w:t>
      </w:r>
      <w:bookmarkEnd w:id="107"/>
    </w:p>
    <w:p>
      <w:pPr>
        <w:pStyle w:val="4"/>
        <w:spacing w:line="560" w:lineRule="exact"/>
        <w:rPr>
          <w:rFonts w:ascii="仿宋" w:hAnsi="仿宋" w:eastAsia="仿宋" w:cs="仿宋"/>
          <w:sz w:val="24"/>
          <w:szCs w:val="24"/>
        </w:rPr>
      </w:pPr>
      <w:bookmarkStart w:id="108" w:name="_Toc11514"/>
      <w:r>
        <w:rPr>
          <w:rFonts w:hint="eastAsia" w:ascii="仿宋" w:hAnsi="仿宋" w:eastAsia="仿宋" w:cs="仿宋"/>
          <w:sz w:val="24"/>
          <w:szCs w:val="24"/>
        </w:rPr>
        <w:t>实施过程要求</w:t>
      </w:r>
      <w:bookmarkEnd w:id="108"/>
    </w:p>
    <w:p>
      <w:pPr>
        <w:adjustRightInd w:val="0"/>
        <w:snapToGrid w:val="0"/>
        <w:spacing w:line="560" w:lineRule="exact"/>
        <w:ind w:firstLine="240" w:firstLineChars="100"/>
        <w:rPr>
          <w:rFonts w:ascii="仿宋" w:hAnsi="仿宋" w:eastAsia="仿宋" w:cs="仿宋"/>
          <w:szCs w:val="24"/>
        </w:rPr>
      </w:pPr>
      <w:r>
        <w:rPr>
          <w:rFonts w:hint="eastAsia" w:ascii="仿宋" w:hAnsi="仿宋" w:eastAsia="仿宋" w:cs="仿宋"/>
          <w:szCs w:val="24"/>
        </w:rPr>
        <w:t>（1）投标方应保证项目按期完成并投入正常运行</w:t>
      </w:r>
    </w:p>
    <w:p>
      <w:pPr>
        <w:spacing w:line="560" w:lineRule="exact"/>
        <w:ind w:firstLine="480"/>
        <w:rPr>
          <w:rFonts w:ascii="仿宋" w:hAnsi="仿宋" w:eastAsia="仿宋" w:cs="仿宋"/>
          <w:szCs w:val="24"/>
        </w:rPr>
      </w:pPr>
      <w:r>
        <w:rPr>
          <w:rFonts w:hint="eastAsia" w:ascii="仿宋" w:hAnsi="仿宋" w:eastAsia="仿宋" w:cs="仿宋"/>
          <w:szCs w:val="24"/>
        </w:rPr>
        <w:t>投标人应在充分理解本采购文件用户需求的基础上，以确保工程质量为前提，制定具体的切实可行的项目详细实施进度计划，以确保本项目顺利进行，如期完成。整个建设的内容包括：主要包括系统调研、软件开发、系统数据准备、系统培训、试运行、客户化修正、系统推广运行等工作。</w:t>
      </w:r>
    </w:p>
    <w:p>
      <w:pPr>
        <w:adjustRightInd w:val="0"/>
        <w:snapToGrid w:val="0"/>
        <w:spacing w:line="560" w:lineRule="exact"/>
        <w:ind w:firstLine="240" w:firstLineChars="100"/>
        <w:rPr>
          <w:rFonts w:ascii="仿宋" w:hAnsi="仿宋" w:eastAsia="仿宋" w:cs="仿宋"/>
          <w:szCs w:val="24"/>
        </w:rPr>
      </w:pPr>
      <w:r>
        <w:rPr>
          <w:rFonts w:hint="eastAsia" w:ascii="仿宋" w:hAnsi="仿宋" w:eastAsia="仿宋" w:cs="仿宋"/>
          <w:szCs w:val="24"/>
        </w:rPr>
        <w:t>（2）项目团队必须按照投标文件中承诺的现场开发人数投入项目的实施；如因开发人员能力不足，导致项目实施延期或不能达到本项目的要求，中标方应承担相应违约责任。</w:t>
      </w:r>
    </w:p>
    <w:p>
      <w:pPr>
        <w:adjustRightInd w:val="0"/>
        <w:snapToGrid w:val="0"/>
        <w:spacing w:line="560" w:lineRule="exact"/>
        <w:ind w:firstLine="240" w:firstLineChars="100"/>
        <w:rPr>
          <w:rFonts w:ascii="仿宋" w:hAnsi="仿宋" w:eastAsia="仿宋" w:cs="仿宋"/>
          <w:szCs w:val="24"/>
        </w:rPr>
      </w:pPr>
      <w:r>
        <w:rPr>
          <w:rFonts w:hint="eastAsia" w:ascii="仿宋" w:hAnsi="仿宋" w:eastAsia="仿宋" w:cs="仿宋"/>
          <w:szCs w:val="24"/>
        </w:rPr>
        <w:t>（3）中标方必须在本地提供专业的维护队伍，在全系统生命周期内提供平台基础设施系统软件、应用系统软件、信息安全系统等各方面的维护，满足上海思明控股集团所需的与平台相关的各类技术服务。</w:t>
      </w:r>
    </w:p>
    <w:p>
      <w:pPr>
        <w:adjustRightInd w:val="0"/>
        <w:snapToGrid w:val="0"/>
        <w:spacing w:line="560" w:lineRule="exact"/>
        <w:ind w:firstLine="240" w:firstLineChars="100"/>
        <w:rPr>
          <w:rFonts w:ascii="仿宋" w:hAnsi="仿宋" w:eastAsia="仿宋" w:cs="仿宋"/>
          <w:szCs w:val="24"/>
        </w:rPr>
      </w:pPr>
      <w:r>
        <w:rPr>
          <w:rFonts w:hint="eastAsia" w:ascii="仿宋" w:hAnsi="仿宋" w:eastAsia="仿宋" w:cs="仿宋"/>
          <w:szCs w:val="24"/>
        </w:rPr>
        <w:t>（4）对于自行开发的应用，需要提供系统运行与维护所需要的管理工具。</w:t>
      </w:r>
    </w:p>
    <w:p>
      <w:pPr>
        <w:adjustRightInd w:val="0"/>
        <w:snapToGrid w:val="0"/>
        <w:spacing w:line="560" w:lineRule="exact"/>
        <w:ind w:firstLine="240" w:firstLineChars="100"/>
        <w:rPr>
          <w:rFonts w:ascii="仿宋" w:hAnsi="仿宋" w:eastAsia="仿宋" w:cs="仿宋"/>
          <w:bCs/>
          <w:szCs w:val="24"/>
          <w:u w:color="FFFFFF" w:themeColor="background1"/>
        </w:rPr>
      </w:pPr>
      <w:r>
        <w:rPr>
          <w:rFonts w:hint="eastAsia" w:ascii="仿宋" w:hAnsi="仿宋" w:eastAsia="仿宋" w:cs="仿宋"/>
          <w:szCs w:val="24"/>
        </w:rPr>
        <w:t>（5）投标人需承诺中标后：项目经理的选派和更换需我司同意。在合同签订后至验收合格前，应用软件相关部分需保证不少于5人的驻场软件开发工程师队伍，确保现场软件系统个性化修改的及时性。同时，在应用软件验收合格后，在一期双方界定的实施需求范围内，提供7*24小时的运维支撑服务，技术人员现场响应时间需在1个小时以内，确保软件的正常运行与及时修改维护。另外，要求</w:t>
      </w:r>
      <w:r>
        <w:rPr>
          <w:rFonts w:hint="eastAsia" w:ascii="仿宋" w:hAnsi="仿宋" w:eastAsia="仿宋" w:cs="仿宋"/>
          <w:bCs/>
          <w:szCs w:val="24"/>
          <w:u w:val="single" w:color="FFFFFF" w:themeColor="background1"/>
        </w:rPr>
        <w:t>在投标文件中提供应用软件免费维保期后软件维护方案和费用报价</w:t>
      </w:r>
      <w:r>
        <w:rPr>
          <w:rFonts w:hint="eastAsia" w:ascii="仿宋" w:hAnsi="仿宋" w:eastAsia="仿宋" w:cs="仿宋"/>
          <w:bCs/>
          <w:szCs w:val="24"/>
          <w:u w:color="FFFFFF" w:themeColor="background1"/>
        </w:rPr>
        <w:t>。</w:t>
      </w:r>
    </w:p>
    <w:p>
      <w:pPr>
        <w:adjustRightInd w:val="0"/>
        <w:snapToGrid w:val="0"/>
        <w:spacing w:line="560" w:lineRule="exact"/>
        <w:ind w:firstLine="240" w:firstLineChars="100"/>
        <w:rPr>
          <w:rFonts w:ascii="仿宋" w:hAnsi="仿宋" w:eastAsia="仿宋" w:cs="仿宋"/>
          <w:szCs w:val="24"/>
        </w:rPr>
      </w:pPr>
      <w:r>
        <w:rPr>
          <w:rFonts w:hint="eastAsia" w:ascii="仿宋" w:hAnsi="仿宋" w:eastAsia="仿宋" w:cs="仿宋"/>
          <w:szCs w:val="24"/>
        </w:rPr>
        <w:t>（6）在系统建设中，中标方必须提供完整的系统设计、运行与维护文档（规范、标准、操作手册），如果系统运行与维护的文档发生了变更，则需要及时对系统管理员进行相应的技术培训和教育。</w:t>
      </w:r>
    </w:p>
    <w:p>
      <w:pPr>
        <w:adjustRightInd w:val="0"/>
        <w:snapToGrid w:val="0"/>
        <w:spacing w:line="560" w:lineRule="exact"/>
        <w:ind w:firstLine="240" w:firstLineChars="100"/>
        <w:rPr>
          <w:rFonts w:ascii="仿宋" w:hAnsi="仿宋" w:eastAsia="仿宋" w:cs="仿宋"/>
          <w:szCs w:val="24"/>
        </w:rPr>
      </w:pPr>
      <w:r>
        <w:rPr>
          <w:rFonts w:hint="eastAsia" w:ascii="仿宋" w:hAnsi="仿宋" w:eastAsia="仿宋" w:cs="仿宋"/>
          <w:szCs w:val="24"/>
        </w:rPr>
        <w:t>（7）系统上线之前，对系统管理员进行充分的技术培训和教育，保证管理人员掌握必要的管理工具，通晓管理规范。</w:t>
      </w:r>
    </w:p>
    <w:p>
      <w:pPr>
        <w:adjustRightInd w:val="0"/>
        <w:snapToGrid w:val="0"/>
        <w:spacing w:line="560" w:lineRule="exact"/>
        <w:ind w:firstLine="240" w:firstLineChars="100"/>
        <w:rPr>
          <w:rFonts w:ascii="仿宋" w:hAnsi="仿宋" w:eastAsia="仿宋" w:cs="仿宋"/>
          <w:szCs w:val="24"/>
        </w:rPr>
      </w:pPr>
      <w:r>
        <w:rPr>
          <w:rFonts w:hint="eastAsia" w:ascii="仿宋" w:hAnsi="仿宋" w:eastAsia="仿宋" w:cs="仿宋"/>
          <w:szCs w:val="24"/>
        </w:rPr>
        <w:t>（8）系统上线后，需要进行为期不少于1个月的试运行，在试运行阶段过程中，进行用户培训、系统调优等工作，直至系统稳定，满足验收标准。试运行期间系统对应部分如果无明显异常，则在试运行结束时，中标方可以申请部分验收或系统验收；试运行期间系统对应部分如果出现故障或异常，在解决出现的故障或异常后，用户可以适当延长试运行期。如果上述故障及其解决发生在系统试运行期，用户还可以适当延长免费维护期。</w:t>
      </w:r>
    </w:p>
    <w:p>
      <w:pPr>
        <w:spacing w:line="560" w:lineRule="exact"/>
        <w:ind w:firstLine="240" w:firstLineChars="100"/>
        <w:rPr>
          <w:rFonts w:ascii="仿宋" w:hAnsi="仿宋" w:eastAsia="仿宋" w:cs="仿宋"/>
          <w:b/>
          <w:szCs w:val="24"/>
        </w:rPr>
      </w:pPr>
      <w:r>
        <w:rPr>
          <w:rFonts w:hint="eastAsia" w:ascii="仿宋" w:hAnsi="仿宋" w:eastAsia="仿宋" w:cs="仿宋"/>
          <w:szCs w:val="24"/>
        </w:rPr>
        <w:t>（9）系统验收后的一个月运行期间，中标方应维持一支包括系统开发人员组成的技术队伍常派现场。若提供的产品出现问题或故障时，应立即进行维护和解决问题。</w:t>
      </w:r>
    </w:p>
    <w:p>
      <w:pPr>
        <w:pStyle w:val="4"/>
        <w:spacing w:line="560" w:lineRule="exact"/>
        <w:rPr>
          <w:rFonts w:ascii="仿宋" w:hAnsi="仿宋" w:eastAsia="仿宋" w:cs="仿宋"/>
          <w:sz w:val="24"/>
          <w:szCs w:val="24"/>
        </w:rPr>
      </w:pPr>
      <w:bookmarkStart w:id="109" w:name="_Toc21881"/>
      <w:r>
        <w:rPr>
          <w:rFonts w:hint="eastAsia" w:ascii="仿宋" w:hAnsi="仿宋" w:eastAsia="仿宋" w:cs="仿宋"/>
          <w:sz w:val="24"/>
          <w:szCs w:val="24"/>
        </w:rPr>
        <w:t>成果交付要求</w:t>
      </w:r>
      <w:bookmarkEnd w:id="109"/>
    </w:p>
    <w:p>
      <w:pPr>
        <w:spacing w:line="560" w:lineRule="exact"/>
        <w:ind w:firstLine="480"/>
        <w:rPr>
          <w:rFonts w:ascii="仿宋" w:hAnsi="仿宋" w:eastAsia="仿宋" w:cs="仿宋"/>
          <w:szCs w:val="24"/>
        </w:rPr>
      </w:pPr>
      <w:r>
        <w:rPr>
          <w:rFonts w:hint="eastAsia" w:ascii="仿宋" w:hAnsi="仿宋" w:eastAsia="仿宋" w:cs="仿宋"/>
          <w:szCs w:val="24"/>
        </w:rPr>
        <w:t>在本期项目的开发过程中和交付使用后，各个阶段都会有各种成果和文档资料。这些成果和文档资料对所开发系统的维护和持续发展起着非常重大的作用。因此，要求将全面、规范的成果和文档资料交付给</w:t>
      </w:r>
      <w:r>
        <w:rPr>
          <w:rFonts w:hint="eastAsia" w:ascii="仿宋" w:hAnsi="仿宋" w:eastAsia="仿宋" w:cs="仿宋"/>
          <w:color w:val="000000" w:themeColor="text1"/>
          <w:szCs w:val="24"/>
          <w14:textFill>
            <w14:solidFill>
              <w14:schemeClr w14:val="tx1"/>
            </w14:solidFill>
          </w14:textFill>
        </w:rPr>
        <w:t>思明控股集团</w:t>
      </w:r>
      <w:r>
        <w:rPr>
          <w:rFonts w:hint="eastAsia" w:ascii="仿宋" w:hAnsi="仿宋" w:eastAsia="仿宋" w:cs="仿宋"/>
          <w:szCs w:val="24"/>
        </w:rPr>
        <w:t>公司，而且要提供明确的交付清单。同时，成果和文档资料必须符合软件工程的相关要求。</w:t>
      </w:r>
    </w:p>
    <w:p>
      <w:pPr>
        <w:pStyle w:val="4"/>
        <w:spacing w:line="560" w:lineRule="exact"/>
        <w:rPr>
          <w:rFonts w:ascii="仿宋" w:hAnsi="仿宋" w:eastAsia="仿宋" w:cs="仿宋"/>
          <w:sz w:val="24"/>
          <w:szCs w:val="24"/>
        </w:rPr>
      </w:pPr>
      <w:bookmarkStart w:id="110" w:name="_Toc11815"/>
      <w:r>
        <w:rPr>
          <w:rFonts w:hint="eastAsia" w:ascii="仿宋" w:hAnsi="仿宋" w:eastAsia="仿宋" w:cs="仿宋"/>
          <w:sz w:val="24"/>
          <w:szCs w:val="24"/>
        </w:rPr>
        <w:t>人员培训要求</w:t>
      </w:r>
      <w:bookmarkEnd w:id="110"/>
    </w:p>
    <w:p>
      <w:pPr>
        <w:spacing w:line="560" w:lineRule="exact"/>
        <w:ind w:firstLine="480"/>
        <w:rPr>
          <w:rFonts w:ascii="仿宋" w:hAnsi="仿宋" w:eastAsia="仿宋" w:cs="仿宋"/>
          <w:szCs w:val="24"/>
        </w:rPr>
      </w:pPr>
      <w:r>
        <w:rPr>
          <w:rFonts w:hint="eastAsia" w:ascii="仿宋" w:hAnsi="仿宋" w:eastAsia="仿宋" w:cs="仿宋"/>
          <w:szCs w:val="24"/>
        </w:rPr>
        <w:t>培训是平台建设的一个重要组成部分。在项目的不同阶段要求提供相关的培训课程，面向系统开发和管理员、各级领导、系统操作人员等不同群体提供系统化、定制化和有针对性地培训。</w:t>
      </w:r>
    </w:p>
    <w:p>
      <w:pPr>
        <w:spacing w:line="560" w:lineRule="exact"/>
        <w:ind w:firstLine="480"/>
        <w:rPr>
          <w:rFonts w:ascii="仿宋" w:hAnsi="仿宋" w:eastAsia="仿宋" w:cs="仿宋"/>
          <w:szCs w:val="24"/>
        </w:rPr>
      </w:pPr>
      <w:r>
        <w:rPr>
          <w:rFonts w:hint="eastAsia" w:ascii="仿宋" w:hAnsi="仿宋" w:eastAsia="仿宋" w:cs="仿宋"/>
          <w:szCs w:val="24"/>
        </w:rPr>
        <w:t>培训内容分为三类，分别为系统开发和管理培训、平台运行与维护管理培训和用户使用培训。通过培训应使各类用户能独立进行相应应用与管理、故障处理、日常维护等工作，确保系统能正常安全运行。</w:t>
      </w:r>
    </w:p>
    <w:p>
      <w:pPr>
        <w:spacing w:line="560" w:lineRule="exact"/>
        <w:ind w:firstLine="480"/>
        <w:rPr>
          <w:rFonts w:ascii="仿宋" w:hAnsi="仿宋" w:eastAsia="仿宋" w:cs="仿宋"/>
          <w:szCs w:val="24"/>
        </w:rPr>
      </w:pPr>
      <w:r>
        <w:rPr>
          <w:rFonts w:hint="eastAsia" w:ascii="仿宋" w:hAnsi="仿宋" w:eastAsia="仿宋" w:cs="仿宋"/>
          <w:szCs w:val="24"/>
        </w:rPr>
        <w:t>投标单位应在投标文件中提出培训计划，计划包括培训项目、人数、地点等详细内容。</w:t>
      </w:r>
    </w:p>
    <w:p>
      <w:pPr>
        <w:spacing w:line="560" w:lineRule="exact"/>
        <w:ind w:firstLine="480"/>
        <w:rPr>
          <w:rFonts w:ascii="仿宋" w:hAnsi="仿宋" w:eastAsia="仿宋" w:cs="仿宋"/>
          <w:szCs w:val="24"/>
        </w:rPr>
      </w:pPr>
      <w:r>
        <w:rPr>
          <w:rFonts w:hint="eastAsia" w:ascii="仿宋" w:hAnsi="仿宋" w:eastAsia="仿宋" w:cs="仿宋"/>
          <w:szCs w:val="24"/>
        </w:rPr>
        <w:t>培训人员必须是投标单位的正式员工。</w:t>
      </w:r>
    </w:p>
    <w:p>
      <w:pPr>
        <w:pStyle w:val="4"/>
        <w:spacing w:line="560" w:lineRule="exact"/>
        <w:rPr>
          <w:rFonts w:ascii="仿宋" w:hAnsi="仿宋" w:eastAsia="仿宋" w:cs="仿宋"/>
          <w:b/>
          <w:sz w:val="24"/>
          <w:szCs w:val="24"/>
        </w:rPr>
      </w:pPr>
      <w:bookmarkStart w:id="111" w:name="_Toc1227"/>
      <w:r>
        <w:rPr>
          <w:rFonts w:hint="eastAsia" w:ascii="仿宋" w:hAnsi="仿宋" w:eastAsia="仿宋" w:cs="仿宋"/>
          <w:sz w:val="24"/>
          <w:szCs w:val="24"/>
        </w:rPr>
        <w:t>质量保证期</w:t>
      </w:r>
      <w:bookmarkEnd w:id="111"/>
    </w:p>
    <w:p>
      <w:pPr>
        <w:spacing w:line="560" w:lineRule="exact"/>
        <w:ind w:firstLine="420" w:firstLineChars="0"/>
        <w:rPr>
          <w:rFonts w:ascii="仿宋" w:hAnsi="仿宋" w:eastAsia="仿宋" w:cs="仿宋"/>
          <w:szCs w:val="24"/>
        </w:rPr>
      </w:pPr>
      <w:r>
        <w:rPr>
          <w:rFonts w:hint="eastAsia" w:ascii="仿宋" w:hAnsi="仿宋" w:eastAsia="仿宋" w:cs="仿宋"/>
          <w:szCs w:val="24"/>
        </w:rPr>
        <w:t>质量保证期：在通过验收合格后，买卖双方签订最终验收报告之日起不少于一年，质保期内不定期（具体约定在合同中体现）的进行保养和校准，并提供书面证明。</w:t>
      </w:r>
    </w:p>
    <w:p>
      <w:pPr>
        <w:pStyle w:val="4"/>
        <w:spacing w:line="560" w:lineRule="exact"/>
        <w:rPr>
          <w:rFonts w:ascii="仿宋" w:hAnsi="仿宋" w:eastAsia="仿宋" w:cs="仿宋"/>
          <w:sz w:val="24"/>
          <w:szCs w:val="24"/>
        </w:rPr>
      </w:pPr>
      <w:bookmarkStart w:id="112" w:name="_Toc6474"/>
      <w:r>
        <w:rPr>
          <w:rFonts w:hint="eastAsia" w:ascii="仿宋" w:hAnsi="仿宋" w:eastAsia="仿宋" w:cs="仿宋"/>
          <w:sz w:val="24"/>
          <w:szCs w:val="24"/>
        </w:rPr>
        <w:t>售后服务</w:t>
      </w:r>
      <w:bookmarkEnd w:id="112"/>
    </w:p>
    <w:p>
      <w:pPr>
        <w:spacing w:line="560" w:lineRule="exact"/>
        <w:ind w:left="840" w:leftChars="100" w:hanging="600" w:hangingChars="250"/>
        <w:rPr>
          <w:rFonts w:ascii="仿宋" w:hAnsi="仿宋" w:eastAsia="仿宋" w:cs="仿宋"/>
          <w:szCs w:val="24"/>
        </w:rPr>
      </w:pPr>
      <w:r>
        <w:rPr>
          <w:rFonts w:hint="eastAsia" w:ascii="仿宋" w:hAnsi="仿宋" w:eastAsia="仿宋" w:cs="仿宋"/>
          <w:szCs w:val="24"/>
        </w:rPr>
        <w:t xml:space="preserve">（1） 投标人应在投标书中详细列出售后服务清单，对每项服务需明确服务提供方名称、服务内容、服务方式、服务人员技术要求以及服务响应时间等。 </w:t>
      </w:r>
    </w:p>
    <w:p>
      <w:pPr>
        <w:spacing w:line="560" w:lineRule="exact"/>
        <w:ind w:left="720" w:leftChars="100" w:hanging="480" w:hangingChars="200"/>
        <w:rPr>
          <w:rFonts w:ascii="仿宋" w:hAnsi="仿宋" w:eastAsia="仿宋" w:cs="仿宋"/>
          <w:szCs w:val="24"/>
        </w:rPr>
      </w:pPr>
      <w:r>
        <w:rPr>
          <w:rFonts w:hint="eastAsia" w:ascii="仿宋" w:hAnsi="仿宋" w:eastAsia="仿宋" w:cs="仿宋"/>
          <w:szCs w:val="24"/>
        </w:rPr>
        <w:t>（2）故障级别及响应</w:t>
      </w:r>
    </w:p>
    <w:tbl>
      <w:tblPr>
        <w:tblStyle w:val="34"/>
        <w:tblW w:w="82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0"/>
        <w:gridCol w:w="2640"/>
        <w:gridCol w:w="1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 w:hRule="atLeast"/>
          <w:jc w:val="center"/>
        </w:trPr>
        <w:tc>
          <w:tcPr>
            <w:tcW w:w="3840" w:type="dxa"/>
          </w:tcPr>
          <w:p>
            <w:pPr>
              <w:spacing w:line="240" w:lineRule="auto"/>
              <w:ind w:firstLine="482"/>
              <w:jc w:val="center"/>
              <w:rPr>
                <w:rFonts w:ascii="仿宋" w:hAnsi="仿宋" w:eastAsia="仿宋" w:cs="仿宋"/>
                <w:b/>
                <w:szCs w:val="24"/>
              </w:rPr>
            </w:pPr>
            <w:r>
              <w:rPr>
                <w:rFonts w:hint="eastAsia" w:ascii="仿宋" w:hAnsi="仿宋" w:eastAsia="仿宋" w:cs="仿宋"/>
                <w:b/>
                <w:szCs w:val="24"/>
              </w:rPr>
              <w:t>故障级别</w:t>
            </w:r>
          </w:p>
        </w:tc>
        <w:tc>
          <w:tcPr>
            <w:tcW w:w="2640" w:type="dxa"/>
          </w:tcPr>
          <w:p>
            <w:pPr>
              <w:spacing w:line="240" w:lineRule="auto"/>
              <w:ind w:firstLine="0" w:firstLineChars="0"/>
              <w:jc w:val="center"/>
              <w:rPr>
                <w:rFonts w:ascii="仿宋" w:hAnsi="仿宋" w:eastAsia="仿宋" w:cs="仿宋"/>
                <w:b/>
                <w:szCs w:val="24"/>
              </w:rPr>
            </w:pPr>
            <w:r>
              <w:rPr>
                <w:rFonts w:hint="eastAsia" w:ascii="仿宋" w:hAnsi="仿宋" w:eastAsia="仿宋" w:cs="仿宋"/>
                <w:b/>
                <w:szCs w:val="24"/>
              </w:rPr>
              <w:t>到达现场时间</w:t>
            </w:r>
          </w:p>
        </w:tc>
        <w:tc>
          <w:tcPr>
            <w:tcW w:w="1763" w:type="dxa"/>
          </w:tcPr>
          <w:p>
            <w:pPr>
              <w:spacing w:line="240" w:lineRule="auto"/>
              <w:ind w:firstLine="0" w:firstLineChars="0"/>
              <w:jc w:val="center"/>
              <w:rPr>
                <w:rFonts w:ascii="仿宋" w:hAnsi="仿宋" w:eastAsia="仿宋" w:cs="仿宋"/>
                <w:b/>
                <w:szCs w:val="24"/>
              </w:rPr>
            </w:pPr>
            <w:r>
              <w:rPr>
                <w:rFonts w:hint="eastAsia" w:ascii="仿宋" w:hAnsi="仿宋" w:eastAsia="仿宋" w:cs="仿宋"/>
                <w:b/>
                <w:szCs w:val="24"/>
              </w:rPr>
              <w:t>解决时间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384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一级故障：系统崩溃或系统性能严重下降，业务系统无法正常运行</w:t>
            </w:r>
          </w:p>
        </w:tc>
        <w:tc>
          <w:tcPr>
            <w:tcW w:w="264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30分钟内提供电话支持， 1小时内到达现场</w:t>
            </w:r>
          </w:p>
        </w:tc>
        <w:tc>
          <w:tcPr>
            <w:tcW w:w="1763"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到达现场后的4小时内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84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二级故障：系统性能有一定下降，业务系统受到干扰</w:t>
            </w:r>
          </w:p>
        </w:tc>
        <w:tc>
          <w:tcPr>
            <w:tcW w:w="264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30分钟内提供电话支持，4小时内到达现场</w:t>
            </w:r>
          </w:p>
        </w:tc>
        <w:tc>
          <w:tcPr>
            <w:tcW w:w="1763"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到达现场后的8小时内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84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三级故障：系统可以运行，但系统有不明原因的报错</w:t>
            </w:r>
          </w:p>
        </w:tc>
        <w:tc>
          <w:tcPr>
            <w:tcW w:w="2640"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30分钟内提供电话支持，8小时内到达现场</w:t>
            </w:r>
          </w:p>
        </w:tc>
        <w:tc>
          <w:tcPr>
            <w:tcW w:w="1763" w:type="dxa"/>
          </w:tcPr>
          <w:p>
            <w:pPr>
              <w:spacing w:line="240" w:lineRule="auto"/>
              <w:ind w:firstLine="0" w:firstLineChars="0"/>
              <w:rPr>
                <w:rFonts w:ascii="仿宋" w:hAnsi="仿宋" w:eastAsia="仿宋" w:cs="仿宋"/>
                <w:szCs w:val="24"/>
              </w:rPr>
            </w:pPr>
            <w:r>
              <w:rPr>
                <w:rFonts w:hint="eastAsia" w:ascii="仿宋" w:hAnsi="仿宋" w:eastAsia="仿宋" w:cs="仿宋"/>
                <w:szCs w:val="24"/>
              </w:rPr>
              <w:t>到达现场后的24小时内</w:t>
            </w:r>
          </w:p>
        </w:tc>
      </w:tr>
    </w:tbl>
    <w:p>
      <w:pPr>
        <w:spacing w:line="560" w:lineRule="exact"/>
        <w:ind w:left="840" w:leftChars="100" w:hanging="600" w:hangingChars="250"/>
        <w:rPr>
          <w:rFonts w:ascii="仿宋" w:hAnsi="仿宋" w:eastAsia="仿宋" w:cs="仿宋"/>
          <w:szCs w:val="24"/>
        </w:rPr>
      </w:pPr>
      <w:r>
        <w:rPr>
          <w:rFonts w:hint="eastAsia" w:ascii="仿宋" w:hAnsi="仿宋" w:eastAsia="仿宋" w:cs="仿宋"/>
          <w:szCs w:val="24"/>
        </w:rPr>
        <w:t>（3）在保修期结束前，须由项目实施方和客户方代表对系统进行一次全面检查，任何缺陷必须由投标人负责修理，在修理之后，项目实施方应将缺陷修理内容、完成修理及恢复正常的时间和日期等报告给买方。</w:t>
      </w:r>
    </w:p>
    <w:p>
      <w:pPr>
        <w:spacing w:line="560" w:lineRule="exact"/>
        <w:ind w:left="840" w:leftChars="100" w:hanging="600" w:hangingChars="250"/>
        <w:rPr>
          <w:rFonts w:ascii="仿宋" w:hAnsi="仿宋" w:eastAsia="仿宋" w:cs="仿宋"/>
          <w:szCs w:val="24"/>
        </w:rPr>
      </w:pPr>
      <w:r>
        <w:rPr>
          <w:rFonts w:hint="eastAsia" w:ascii="仿宋" w:hAnsi="仿宋" w:eastAsia="仿宋" w:cs="仿宋"/>
          <w:szCs w:val="24"/>
        </w:rPr>
        <w:t>（4）投标方应具体说明保修期满后售后服务的方式、内容与相应的价格，此费用不计入总价。</w:t>
      </w:r>
    </w:p>
    <w:p>
      <w:pPr>
        <w:spacing w:line="560" w:lineRule="exact"/>
        <w:ind w:firstLineChars="0"/>
        <w:rPr>
          <w:rFonts w:ascii="仿宋" w:hAnsi="仿宋" w:eastAsia="仿宋" w:cs="仿宋"/>
          <w:szCs w:val="24"/>
        </w:rPr>
      </w:pPr>
    </w:p>
    <w:p>
      <w:pPr>
        <w:widowControl/>
        <w:spacing w:line="560" w:lineRule="exact"/>
        <w:ind w:firstLine="0" w:firstLineChars="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2"/>
        <w:spacing w:line="560" w:lineRule="exact"/>
        <w:rPr>
          <w:rFonts w:hint="eastAsia" w:ascii="方正小标宋简体" w:eastAsia="方正小标宋简体" w:cs="黑体"/>
          <w:b w:val="0"/>
          <w:bCs w:val="0"/>
          <w:kern w:val="0"/>
          <w:sz w:val="44"/>
          <w:szCs w:val="44"/>
        </w:rPr>
      </w:pPr>
      <w:bookmarkStart w:id="113" w:name="_Toc9016"/>
      <w:r>
        <w:rPr>
          <w:rFonts w:hint="eastAsia" w:ascii="方正小标宋简体" w:eastAsia="方正小标宋简体" w:cs="黑体"/>
          <w:b w:val="0"/>
          <w:bCs w:val="0"/>
          <w:kern w:val="0"/>
          <w:sz w:val="44"/>
          <w:szCs w:val="44"/>
        </w:rPr>
        <w:t>评分标准</w:t>
      </w:r>
      <w:bookmarkEnd w:id="113"/>
    </w:p>
    <w:p>
      <w:pPr>
        <w:spacing w:line="560" w:lineRule="exact"/>
        <w:ind w:firstLine="480"/>
        <w:rPr>
          <w:rFonts w:ascii="仿宋_GB2312" w:hAnsi="仿宋_GB2312" w:eastAsia="仿宋_GB2312" w:cs="仿宋_GB2312"/>
          <w:sz w:val="32"/>
          <w:szCs w:val="32"/>
        </w:rPr>
      </w:pPr>
      <w:r>
        <w:rPr>
          <w:rFonts w:hint="eastAsia" w:ascii="仿宋" w:hAnsi="仿宋" w:eastAsia="仿宋" w:cs="仿宋"/>
          <w:szCs w:val="24"/>
        </w:rPr>
        <w:t>综合本项目的特点，根据相关法律法规的规定，本着保护竞争，维护招标工作公开、公平、公正原则，特制定本评标办法，作为选定本次招标中标人的依据。</w:t>
      </w:r>
    </w:p>
    <w:p>
      <w:pPr>
        <w:pStyle w:val="3"/>
        <w:spacing w:line="560" w:lineRule="exact"/>
        <w:rPr>
          <w:rFonts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 xml:space="preserve"> </w:t>
      </w:r>
      <w:bookmarkStart w:id="114" w:name="_Toc15646"/>
      <w:r>
        <w:rPr>
          <w:rFonts w:hint="eastAsia" w:hAnsi="黑体" w:cs="黑体"/>
        </w:rPr>
        <w:t>中标原则</w:t>
      </w:r>
      <w:bookmarkEnd w:id="114"/>
    </w:p>
    <w:p>
      <w:pPr>
        <w:spacing w:line="560" w:lineRule="exact"/>
        <w:ind w:firstLine="480"/>
        <w:rPr>
          <w:rFonts w:ascii="仿宋" w:hAnsi="仿宋" w:eastAsia="仿宋" w:cs="仿宋"/>
          <w:szCs w:val="24"/>
        </w:rPr>
      </w:pPr>
      <w:r>
        <w:rPr>
          <w:rFonts w:hint="eastAsia" w:ascii="仿宋" w:hAnsi="仿宋" w:eastAsia="仿宋" w:cs="仿宋"/>
          <w:szCs w:val="24"/>
        </w:rPr>
        <w:t>第一原则：项目标的最高控制价55.6万元；</w:t>
      </w:r>
    </w:p>
    <w:p>
      <w:pPr>
        <w:spacing w:line="560" w:lineRule="exact"/>
        <w:ind w:firstLine="480"/>
        <w:rPr>
          <w:rFonts w:ascii="仿宋" w:hAnsi="仿宋" w:eastAsia="仿宋" w:cs="仿宋"/>
          <w:szCs w:val="24"/>
        </w:rPr>
      </w:pPr>
      <w:r>
        <w:rPr>
          <w:rFonts w:hint="eastAsia" w:ascii="仿宋" w:hAnsi="仿宋" w:eastAsia="仿宋" w:cs="仿宋"/>
          <w:szCs w:val="24"/>
        </w:rPr>
        <w:t>第二原则：满足技术要求的综合评分第一位为第一中标商；</w:t>
      </w:r>
    </w:p>
    <w:p>
      <w:pPr>
        <w:spacing w:line="560" w:lineRule="exact"/>
        <w:ind w:firstLine="480"/>
        <w:rPr>
          <w:rFonts w:ascii="仿宋" w:hAnsi="仿宋" w:eastAsia="仿宋" w:cs="仿宋"/>
          <w:szCs w:val="24"/>
        </w:rPr>
      </w:pPr>
      <w:r>
        <w:rPr>
          <w:rFonts w:hint="eastAsia" w:ascii="仿宋" w:hAnsi="仿宋" w:eastAsia="仿宋" w:cs="仿宋"/>
          <w:szCs w:val="24"/>
        </w:rPr>
        <w:t>第三原则：综合评分相同，依照价格最优的厂商、技术分最优的厂商、综合实力依次评判。</w:t>
      </w:r>
    </w:p>
    <w:p>
      <w:pPr>
        <w:spacing w:line="560" w:lineRule="exact"/>
        <w:ind w:firstLine="640"/>
        <w:rPr>
          <w:rFonts w:ascii="仿宋_GB2312" w:hAnsi="仿宋_GB2312" w:eastAsia="仿宋_GB2312" w:cs="仿宋_GB2312"/>
          <w:sz w:val="32"/>
          <w:szCs w:val="32"/>
        </w:rPr>
      </w:pPr>
    </w:p>
    <w:p>
      <w:pPr>
        <w:pStyle w:val="3"/>
        <w:spacing w:line="560" w:lineRule="exact"/>
        <w:rPr>
          <w:rFonts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 xml:space="preserve"> </w:t>
      </w:r>
      <w:bookmarkStart w:id="115" w:name="_Toc24203"/>
      <w:r>
        <w:rPr>
          <w:rFonts w:hint="eastAsia" w:hAnsi="黑体" w:cs="黑体"/>
        </w:rPr>
        <w:t>评标权重</w:t>
      </w:r>
      <w:bookmarkEnd w:id="115"/>
    </w:p>
    <w:p>
      <w:pPr>
        <w:spacing w:line="560" w:lineRule="exact"/>
        <w:ind w:firstLine="480"/>
        <w:rPr>
          <w:rFonts w:ascii="仿宋" w:hAnsi="仿宋" w:eastAsia="仿宋" w:cs="仿宋"/>
          <w:szCs w:val="24"/>
        </w:rPr>
      </w:pPr>
      <w:r>
        <w:rPr>
          <w:rFonts w:hint="eastAsia" w:ascii="仿宋" w:hAnsi="仿宋" w:eastAsia="仿宋" w:cs="仿宋"/>
          <w:szCs w:val="24"/>
        </w:rPr>
        <w:t>本次评标采用综合评分法，其中技术评议70分，商务评议30分。</w:t>
      </w:r>
    </w:p>
    <w:p>
      <w:pPr>
        <w:spacing w:line="560" w:lineRule="exact"/>
        <w:ind w:firstLine="480"/>
        <w:rPr>
          <w:rFonts w:ascii="仿宋" w:hAnsi="仿宋" w:eastAsia="仿宋" w:cs="仿宋"/>
          <w:szCs w:val="24"/>
        </w:rPr>
      </w:pPr>
      <w:r>
        <w:rPr>
          <w:rFonts w:hint="eastAsia" w:ascii="仿宋" w:hAnsi="仿宋" w:eastAsia="仿宋" w:cs="仿宋"/>
          <w:szCs w:val="24"/>
        </w:rPr>
        <w:t>在满足招标文件要求的前提下，对每个有效投标人的投标文件分别进行综合评分并汇总。综合得分（技术标得分＋商务标得分）最高者为第一名，依次类推确定得分排名顺序，推荐排名第一的投标人为中标候选人。若出现二家投标人并列最高分，则确定投标报价较低者为中标候选人。若出现排名第一的中标候选人放弃中标或不能按招标文件规定签订合同等原因取消中标资格，则按排名顺序依次确定排名第二的中标候选人为中标人。具体评分细则如下：</w:t>
      </w:r>
    </w:p>
    <w:p>
      <w:pPr>
        <w:spacing w:line="560" w:lineRule="exact"/>
        <w:ind w:firstLine="640"/>
        <w:rPr>
          <w:rFonts w:ascii="仿宋_GB2312" w:hAnsi="仿宋_GB2312" w:eastAsia="仿宋_GB2312" w:cs="仿宋_GB2312"/>
          <w:sz w:val="32"/>
          <w:szCs w:val="32"/>
        </w:rPr>
      </w:pPr>
    </w:p>
    <w:p>
      <w:pPr>
        <w:pStyle w:val="3"/>
        <w:spacing w:line="560" w:lineRule="exact"/>
        <w:rPr>
          <w:rFonts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 xml:space="preserve"> </w:t>
      </w:r>
      <w:bookmarkStart w:id="116" w:name="_Toc10836"/>
      <w:r>
        <w:rPr>
          <w:rFonts w:hint="eastAsia" w:hAnsi="黑体" w:cs="黑体"/>
        </w:rPr>
        <w:t>评分细则</w:t>
      </w:r>
      <w:bookmarkEnd w:id="116"/>
    </w:p>
    <w:tbl>
      <w:tblPr>
        <w:tblStyle w:val="34"/>
        <w:tblW w:w="86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1605"/>
        <w:gridCol w:w="5148"/>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序号</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评审因素</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评分说明</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投标报价</w:t>
            </w:r>
          </w:p>
        </w:tc>
        <w:tc>
          <w:tcPr>
            <w:tcW w:w="5148" w:type="dxa"/>
            <w:tcBorders>
              <w:top w:val="single" w:color="auto" w:sz="4" w:space="0"/>
              <w:left w:val="single" w:color="auto" w:sz="4" w:space="0"/>
              <w:bottom w:val="single" w:color="auto" w:sz="4" w:space="0"/>
              <w:right w:val="single" w:color="auto" w:sz="4" w:space="0"/>
            </w:tcBorders>
            <w:vAlign w:val="center"/>
          </w:tcPr>
          <w:p>
            <w:pPr>
              <w:pStyle w:val="29"/>
              <w:rPr>
                <w:rFonts w:ascii="仿宋" w:hAnsi="仿宋" w:eastAsia="仿宋" w:cs="仿宋"/>
                <w:color w:val="000000"/>
              </w:rPr>
            </w:pPr>
            <w:r>
              <w:rPr>
                <w:rFonts w:hint="eastAsia" w:ascii="仿宋" w:hAnsi="仿宋" w:eastAsia="仿宋" w:cs="仿宋"/>
                <w:color w:val="000000"/>
              </w:rPr>
              <w:t>1、商务评分标准：取有效标投标报价的算术平均值为评分基准值。其他投标人投标价与基准值对比，计算出商务标的评分值，具体办法如下：经评审等于基准值的投标价，得分20分。</w:t>
            </w:r>
          </w:p>
          <w:p>
            <w:pPr>
              <w:pStyle w:val="29"/>
              <w:rPr>
                <w:rFonts w:ascii="仿宋" w:hAnsi="仿宋" w:eastAsia="仿宋" w:cs="仿宋"/>
                <w:color w:val="000000"/>
              </w:rPr>
            </w:pPr>
            <w:r>
              <w:rPr>
                <w:rFonts w:hint="eastAsia" w:ascii="仿宋" w:hAnsi="仿宋" w:eastAsia="仿宋" w:cs="仿宋"/>
                <w:color w:val="000000"/>
              </w:rPr>
              <w:t>2、在基准值以上的投标价：投标报价每高于基准值1%，扣1分，最多减至15分。在基准值以下的投标价：投标报价每低于基准值1%，扣0.5分，最多减至15分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5"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lang w:eastAsia="zh-Hans"/>
              </w:rPr>
            </w:pPr>
            <w:r>
              <w:rPr>
                <w:rFonts w:hint="eastAsia" w:ascii="仿宋" w:hAnsi="仿宋" w:eastAsia="仿宋" w:cs="仿宋"/>
                <w:szCs w:val="24"/>
              </w:rPr>
              <w:t>投标人类似项目业绩</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lang w:eastAsia="zh-Hans"/>
              </w:rPr>
              <w:t>提供产品开发商中标或签约</w:t>
            </w:r>
            <w:r>
              <w:rPr>
                <w:rFonts w:hint="eastAsia" w:ascii="仿宋" w:hAnsi="仿宋" w:eastAsia="仿宋" w:cs="仿宋"/>
                <w:szCs w:val="24"/>
              </w:rPr>
              <w:t>的软件</w:t>
            </w:r>
            <w:r>
              <w:rPr>
                <w:rFonts w:hint="eastAsia" w:ascii="仿宋" w:hAnsi="仿宋" w:eastAsia="仿宋" w:cs="仿宋"/>
                <w:szCs w:val="24"/>
                <w:lang w:eastAsia="zh-Hans"/>
              </w:rPr>
              <w:t>项目中，要求提供厦门大型国企</w:t>
            </w:r>
            <w:r>
              <w:rPr>
                <w:rFonts w:hint="eastAsia" w:ascii="仿宋" w:hAnsi="仿宋" w:eastAsia="仿宋" w:cs="仿宋"/>
                <w:szCs w:val="24"/>
              </w:rPr>
              <w:t>、政府机构、学校或医院的</w:t>
            </w:r>
            <w:r>
              <w:rPr>
                <w:rFonts w:hint="eastAsia" w:ascii="仿宋" w:hAnsi="仿宋" w:eastAsia="仿宋" w:cs="仿宋"/>
                <w:szCs w:val="24"/>
                <w:lang w:eastAsia="zh-Hans"/>
              </w:rPr>
              <w:t>合同复印件。未提供得0分，提供1个得2分，提供2个得4分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199" w:firstLineChars="83"/>
              <w:rPr>
                <w:rFonts w:ascii="仿宋" w:hAnsi="仿宋" w:eastAsia="仿宋" w:cs="仿宋"/>
                <w:szCs w:val="24"/>
              </w:rPr>
            </w:pPr>
            <w:r>
              <w:rPr>
                <w:rFonts w:hint="eastAsia" w:ascii="仿宋" w:hAnsi="仿宋" w:eastAsia="仿宋" w:cs="仿宋"/>
                <w:szCs w:val="24"/>
              </w:rPr>
              <w:t>3</w:t>
            </w:r>
          </w:p>
        </w:tc>
        <w:tc>
          <w:tcPr>
            <w:tcW w:w="1605"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售后服务</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b w:val="0"/>
                <w:kern w:val="0"/>
                <w:szCs w:val="24"/>
              </w:rPr>
              <w:t>售后服务体系承诺情况。</w:t>
            </w:r>
            <w:r>
              <w:rPr>
                <w:rFonts w:hint="eastAsia" w:ascii="仿宋" w:hAnsi="仿宋" w:eastAsia="仿宋" w:cs="仿宋"/>
                <w:szCs w:val="24"/>
              </w:rPr>
              <w:t>投标人提供包括产品免费维保期长短、免费维保期后的收费情况、售后服务保障条件、售后服务响应速度、响应程度、免费维护期内提供技术人员现场服务情况等在内的一整套售后服务体系实施方案。评分标准为：满足招标要求2分，低于要求0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199" w:firstLineChars="83"/>
              <w:rPr>
                <w:rFonts w:ascii="仿宋" w:hAnsi="仿宋" w:eastAsia="仿宋" w:cs="仿宋"/>
                <w:szCs w:val="24"/>
              </w:rPr>
            </w:pPr>
            <w:r>
              <w:rPr>
                <w:rFonts w:hint="eastAsia" w:ascii="仿宋" w:hAnsi="仿宋" w:eastAsia="仿宋" w:cs="仿宋"/>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80"/>
              <w:jc w:val="left"/>
              <w:rPr>
                <w:rFonts w:ascii="仿宋" w:hAnsi="仿宋" w:eastAsia="仿宋" w:cs="仿宋"/>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80"/>
              <w:jc w:val="left"/>
              <w:rPr>
                <w:rFonts w:ascii="仿宋" w:hAnsi="仿宋" w:eastAsia="仿宋" w:cs="仿宋"/>
                <w:szCs w:val="24"/>
              </w:rPr>
            </w:pP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kern w:val="0"/>
                <w:szCs w:val="24"/>
              </w:rPr>
              <w:t>售后服务团队</w:t>
            </w:r>
            <w:r>
              <w:rPr>
                <w:rFonts w:hint="eastAsia" w:ascii="仿宋" w:hAnsi="仿宋" w:eastAsia="仿宋" w:cs="仿宋"/>
                <w:szCs w:val="24"/>
              </w:rPr>
              <w:t>。针对本项目必须要求提供原厂的售后服务专业团队，人数应与本项目规模相适应。好4分，较好3分，一般2分，差1分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199" w:firstLineChars="83"/>
              <w:rPr>
                <w:rFonts w:ascii="仿宋" w:hAnsi="仿宋" w:eastAsia="仿宋" w:cs="仿宋"/>
                <w:szCs w:val="24"/>
              </w:rPr>
            </w:pPr>
            <w:r>
              <w:rPr>
                <w:rFonts w:hint="eastAsia" w:ascii="仿宋" w:hAnsi="仿宋" w:eastAsia="仿宋" w:cs="仿宋"/>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721" w:type="dxa"/>
            <w:gridSpan w:val="3"/>
            <w:tcBorders>
              <w:top w:val="single" w:color="auto" w:sz="4" w:space="0"/>
              <w:left w:val="single" w:color="auto" w:sz="4" w:space="0"/>
              <w:bottom w:val="single" w:color="auto" w:sz="4" w:space="0"/>
              <w:right w:val="single" w:color="auto" w:sz="4" w:space="0"/>
            </w:tcBorders>
            <w:shd w:val="clear" w:color="auto" w:fill="B4C6E7" w:themeFill="accent5" w:themeFillTint="66"/>
            <w:vAlign w:val="center"/>
          </w:tcPr>
          <w:p>
            <w:pPr>
              <w:spacing w:line="240" w:lineRule="auto"/>
              <w:ind w:firstLine="480"/>
              <w:jc w:val="center"/>
              <w:rPr>
                <w:rFonts w:ascii="仿宋" w:hAnsi="仿宋" w:eastAsia="仿宋" w:cs="仿宋"/>
                <w:szCs w:val="24"/>
              </w:rPr>
            </w:pPr>
            <w:r>
              <w:rPr>
                <w:rFonts w:hint="eastAsia" w:ascii="仿宋" w:hAnsi="仿宋" w:eastAsia="仿宋" w:cs="仿宋"/>
                <w:szCs w:val="24"/>
              </w:rPr>
              <w:t xml:space="preserve">     商务评分总计</w:t>
            </w:r>
          </w:p>
        </w:tc>
        <w:tc>
          <w:tcPr>
            <w:tcW w:w="942" w:type="dxa"/>
            <w:tcBorders>
              <w:top w:val="single" w:color="auto" w:sz="4" w:space="0"/>
              <w:left w:val="single" w:color="auto" w:sz="4" w:space="0"/>
              <w:bottom w:val="single" w:color="auto" w:sz="4" w:space="0"/>
              <w:right w:val="single" w:color="auto" w:sz="4" w:space="0"/>
            </w:tcBorders>
            <w:shd w:val="clear" w:color="auto" w:fill="B4C6E7" w:themeFill="accent5" w:themeFillTint="66"/>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序号</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评审因素</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评分说明</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b/>
                <w:szCs w:val="24"/>
              </w:rPr>
            </w:pPr>
            <w:r>
              <w:rPr>
                <w:rFonts w:hint="eastAsia" w:ascii="仿宋" w:hAnsi="仿宋" w:eastAsia="仿宋" w:cs="仿宋"/>
                <w:bCs/>
                <w:szCs w:val="24"/>
              </w:rPr>
              <w:t>企业服务认证体系</w:t>
            </w:r>
          </w:p>
        </w:tc>
        <w:tc>
          <w:tcPr>
            <w:tcW w:w="5148" w:type="dxa"/>
            <w:tcBorders>
              <w:top w:val="single" w:color="auto" w:sz="4" w:space="0"/>
              <w:left w:val="single" w:color="auto" w:sz="4" w:space="0"/>
              <w:bottom w:val="single" w:color="auto" w:sz="4" w:space="0"/>
              <w:right w:val="single" w:color="auto" w:sz="4" w:space="0"/>
            </w:tcBorders>
            <w:vAlign w:val="center"/>
          </w:tcPr>
          <w:p>
            <w:pPr>
              <w:pStyle w:val="78"/>
              <w:spacing w:line="240" w:lineRule="auto"/>
              <w:ind w:firstLine="0" w:firstLineChars="0"/>
              <w:rPr>
                <w:rFonts w:ascii="仿宋" w:hAnsi="仿宋" w:eastAsia="仿宋" w:cs="仿宋"/>
                <w:szCs w:val="24"/>
              </w:rPr>
            </w:pPr>
            <w:r>
              <w:rPr>
                <w:rFonts w:hint="eastAsia" w:ascii="仿宋" w:hAnsi="仿宋" w:eastAsia="仿宋" w:cs="仿宋"/>
                <w:szCs w:val="24"/>
              </w:rPr>
              <w:t>投标人具有下列有效体系认证证书：</w:t>
            </w:r>
          </w:p>
          <w:p>
            <w:pPr>
              <w:spacing w:line="240" w:lineRule="auto"/>
              <w:ind w:firstLine="0" w:firstLineChars="0"/>
              <w:textAlignment w:val="center"/>
              <w:rPr>
                <w:rFonts w:ascii="仿宋" w:hAnsi="仿宋" w:eastAsia="仿宋" w:cs="仿宋"/>
                <w:szCs w:val="24"/>
              </w:rPr>
            </w:pPr>
            <w:r>
              <w:rPr>
                <w:rFonts w:hint="eastAsia" w:ascii="仿宋" w:hAnsi="仿宋" w:eastAsia="仿宋" w:cs="仿宋"/>
                <w:szCs w:val="24"/>
              </w:rPr>
              <w:t>1.OA办公平台软件著作权</w:t>
            </w:r>
          </w:p>
          <w:p>
            <w:pPr>
              <w:spacing w:line="240" w:lineRule="auto"/>
              <w:ind w:firstLine="0" w:firstLineChars="0"/>
              <w:textAlignment w:val="center"/>
              <w:rPr>
                <w:rFonts w:ascii="仿宋" w:hAnsi="仿宋" w:eastAsia="仿宋" w:cs="仿宋"/>
                <w:szCs w:val="24"/>
              </w:rPr>
            </w:pPr>
            <w:r>
              <w:rPr>
                <w:rFonts w:hint="eastAsia" w:ascii="仿宋" w:hAnsi="仿宋" w:eastAsia="仿宋" w:cs="仿宋"/>
                <w:szCs w:val="24"/>
              </w:rPr>
              <w:t>2.厦门市高新技术企业单位</w:t>
            </w:r>
          </w:p>
          <w:p>
            <w:pPr>
              <w:spacing w:line="240" w:lineRule="auto"/>
              <w:ind w:firstLine="0" w:firstLineChars="0"/>
              <w:rPr>
                <w:rFonts w:ascii="仿宋" w:hAnsi="仿宋" w:eastAsia="仿宋" w:cs="仿宋"/>
                <w:szCs w:val="24"/>
              </w:rPr>
            </w:pPr>
            <w:r>
              <w:rPr>
                <w:rFonts w:hint="eastAsia" w:ascii="仿宋" w:hAnsi="仿宋" w:eastAsia="仿宋" w:cs="仿宋"/>
                <w:szCs w:val="24"/>
              </w:rPr>
              <w:t>3.国家高新技术企业单位（以上每一项提供有效的认证证书复印件得1分，满分3分。投标人应提供以上证书复印件加盖投标人公章，原件备查。未提供或证书未在有效期内的不得分。）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1.1</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需求理解及规划应对</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对本次项目集团及下属公司建设目标把握准确，需求理解深刻，针对信息化现状、数字化办公平台建设目标、建设内容、建设范围的基础上，提出有建设性的分期规划建议方案。相对较好得5分，一般得3分，较差得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1.2</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方案设计合理性</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方案比较完整，具有前瞻性，需求点对点应答，有项目规划能力，方案设计充分借鉴大型国企集团成熟的案例经验。相对较好得5分，一般得2分，较差得1分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平台核心七大引擎</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重点考察本次平台的七大引擎（分级分权引擎、门户引擎、流程引擎、报表引擎、内容引擎、集成引擎、业务建模引擎）无需开发就能实现灵活配置性及平台技术发展前瞻性、后续扩展性等，缺少一项目扣1分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1.4</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集团多维度组织架构</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考虑与多套系统集成及集团矩阵式管理，系统需实现多维度组织架构（如行政维度、党委维度、财务维度、项目维度、板块维度等），支持一人多岗管理模式，提供一人多岗解决方案，符合要求得3分，一般得1分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1.5</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统一门户</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建立公司统一单点登录门户，实现统一用户管理、实现集团多级门户管控，实现门户、栏目及内容三级权限管理，信息采编排一体化。符合要求得3分，一般得2分，较差得1分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1.6</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协同办公</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在集团分级分权管理、流程管理、知识管理、行政管理、日常办公管理之基础应用扩展、职能条线管理上有成熟的国企经验借鉴，功能实用、成熟、可持续发展、便于维护，全部满足得9分，基本符合要求得5分，一般得3分，较差得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1.7</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系统集成</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实现与集团各业务系统单点登录集成、基础数据集成、消息提醒、界面集成、流程集成、业务数据集成及文件集成等，提供集成标准的接口和丰富的集成案例经验借鉴，尽量减少集成工作量。符合要求得3分，一般得2分，较差得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1.8</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移动办公</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APP支持</w:t>
            </w:r>
            <w:r>
              <w:rPr>
                <w:rFonts w:ascii="仿宋" w:hAnsi="仿宋" w:eastAsia="仿宋" w:cs="仿宋"/>
                <w:szCs w:val="24"/>
              </w:rPr>
              <w:t>android</w:t>
            </w:r>
            <w:r>
              <w:rPr>
                <w:rFonts w:hint="eastAsia" w:ascii="仿宋" w:hAnsi="仿宋" w:eastAsia="仿宋" w:cs="仿宋"/>
                <w:szCs w:val="24"/>
              </w:rPr>
              <w:t>和IOS操作系统，在手机和平板电脑有成熟应用和完善的用户体验。</w:t>
            </w:r>
          </w:p>
          <w:p>
            <w:pPr>
              <w:spacing w:line="240" w:lineRule="auto"/>
              <w:ind w:firstLine="0" w:firstLineChars="0"/>
              <w:jc w:val="left"/>
              <w:rPr>
                <w:rFonts w:ascii="仿宋" w:hAnsi="仿宋" w:eastAsia="仿宋" w:cs="仿宋"/>
                <w:szCs w:val="24"/>
              </w:rPr>
            </w:pPr>
            <w:r>
              <w:rPr>
                <w:rFonts w:hint="eastAsia" w:ascii="仿宋" w:hAnsi="仿宋" w:eastAsia="仿宋" w:cs="仿宋"/>
                <w:szCs w:val="24"/>
              </w:rPr>
              <w:t>1、APP移动端应用自适应：移动端应用快速部署的成熟性，PC端流程实施完成后可自适应到移动端使用，移动端无需任何实施成本</w:t>
            </w:r>
          </w:p>
          <w:p>
            <w:pPr>
              <w:spacing w:line="240" w:lineRule="auto"/>
              <w:ind w:firstLine="0" w:firstLineChars="0"/>
              <w:jc w:val="left"/>
              <w:rPr>
                <w:rFonts w:ascii="仿宋" w:hAnsi="仿宋" w:eastAsia="仿宋" w:cs="仿宋"/>
                <w:szCs w:val="24"/>
              </w:rPr>
            </w:pPr>
            <w:r>
              <w:rPr>
                <w:rFonts w:hint="eastAsia" w:ascii="仿宋" w:hAnsi="仿宋" w:eastAsia="仿宋" w:cs="仿宋"/>
                <w:szCs w:val="24"/>
              </w:rPr>
              <w:t>2、移动日程：系统日程与手机端日历双向同步，满足领导一周工作安排提醒</w:t>
            </w:r>
          </w:p>
          <w:p>
            <w:pPr>
              <w:spacing w:line="240" w:lineRule="auto"/>
              <w:ind w:firstLine="0" w:firstLineChars="0"/>
              <w:jc w:val="left"/>
              <w:rPr>
                <w:rFonts w:ascii="仿宋" w:hAnsi="仿宋" w:eastAsia="仿宋" w:cs="仿宋"/>
                <w:szCs w:val="24"/>
              </w:rPr>
            </w:pPr>
            <w:r>
              <w:rPr>
                <w:rFonts w:hint="eastAsia" w:ascii="仿宋" w:hAnsi="仿宋" w:eastAsia="仿宋" w:cs="仿宋"/>
                <w:szCs w:val="24"/>
              </w:rPr>
              <w:t>3、移动终端安全性：用户账号需与移动设备进行绑定，数据传输需支持ssl隧道加密协议。</w:t>
            </w:r>
          </w:p>
          <w:p>
            <w:pPr>
              <w:spacing w:line="240" w:lineRule="auto"/>
              <w:ind w:firstLine="0" w:firstLineChars="0"/>
              <w:jc w:val="left"/>
              <w:rPr>
                <w:rFonts w:ascii="仿宋" w:hAnsi="仿宋" w:eastAsia="仿宋" w:cs="仿宋"/>
                <w:szCs w:val="24"/>
              </w:rPr>
            </w:pPr>
            <w:r>
              <w:rPr>
                <w:rFonts w:hint="eastAsia" w:ascii="仿宋" w:hAnsi="仿宋" w:eastAsia="仿宋" w:cs="仿宋"/>
                <w:szCs w:val="24"/>
              </w:rPr>
              <w:t>以上缺少一项扣1分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6"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1.9</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平台技术架构</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cs="仿宋"/>
                <w:szCs w:val="24"/>
              </w:rPr>
            </w:pPr>
            <w:r>
              <w:rPr>
                <w:rFonts w:hint="eastAsia" w:ascii="仿宋" w:hAnsi="仿宋" w:eastAsia="仿宋" w:cs="仿宋"/>
                <w:szCs w:val="24"/>
              </w:rPr>
              <w:t>1、项目平台需具备开放性，安全性和可扩展性，产品基于JAVA平台开发，分层设计；2、前后端分离，应用之间松耦合；3、前端单页化、后端微服务化、组件化，接口化；4、成熟平台+丰富应用，工厂模式，迭代开发；5、应用数据库空间解耦合，缓存框架提高性能。且支持大并发用户使用；6、 求支持多平台部署且应用服务器与数据服务器可分离部署，要求服务器端支持Windows\Linux\Unix等操作系统，并支持Oracle 、</w:t>
            </w:r>
            <w:r>
              <w:rPr>
                <w:rFonts w:ascii="仿宋" w:hAnsi="仿宋" w:eastAsia="仿宋" w:cs="仿宋"/>
                <w:szCs w:val="24"/>
              </w:rPr>
              <w:t>MySQL</w:t>
            </w:r>
            <w:r>
              <w:rPr>
                <w:rFonts w:hint="eastAsia" w:ascii="仿宋" w:hAnsi="仿宋" w:eastAsia="仿宋" w:cs="仿宋"/>
                <w:szCs w:val="24"/>
              </w:rPr>
              <w:t>、SQL Server等数据库。以上六项每项目1分，共计6分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721" w:type="dxa"/>
            <w:gridSpan w:val="3"/>
            <w:tcBorders>
              <w:top w:val="single" w:color="auto" w:sz="4" w:space="0"/>
              <w:left w:val="single" w:color="auto" w:sz="4" w:space="0"/>
              <w:bottom w:val="single" w:color="auto" w:sz="4" w:space="0"/>
              <w:right w:val="single" w:color="auto" w:sz="4" w:space="0"/>
            </w:tcBorders>
            <w:shd w:val="clear" w:color="auto" w:fill="E7E6E6" w:themeFill="background2"/>
            <w:vAlign w:val="center"/>
          </w:tcPr>
          <w:p>
            <w:pPr>
              <w:spacing w:line="240" w:lineRule="auto"/>
              <w:ind w:firstLine="480"/>
              <w:jc w:val="center"/>
              <w:rPr>
                <w:rFonts w:ascii="仿宋" w:hAnsi="仿宋" w:eastAsia="仿宋" w:cs="仿宋"/>
                <w:szCs w:val="24"/>
              </w:rPr>
            </w:pPr>
            <w:r>
              <w:rPr>
                <w:rFonts w:hint="eastAsia" w:ascii="仿宋" w:hAnsi="仿宋" w:eastAsia="仿宋" w:cs="仿宋"/>
                <w:szCs w:val="24"/>
              </w:rPr>
              <w:t xml:space="preserve">   技术设计合计</w:t>
            </w:r>
          </w:p>
        </w:tc>
        <w:tc>
          <w:tcPr>
            <w:tcW w:w="942" w:type="dxa"/>
            <w:tcBorders>
              <w:top w:val="single" w:color="auto" w:sz="4" w:space="0"/>
              <w:left w:val="single" w:color="auto" w:sz="4" w:space="0"/>
              <w:bottom w:val="single" w:color="auto" w:sz="4" w:space="0"/>
              <w:right w:val="single" w:color="auto" w:sz="4" w:space="0"/>
            </w:tcBorders>
            <w:shd w:val="clear" w:color="auto" w:fill="E7E6E6" w:themeFill="background2"/>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2.1</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实施方案</w:t>
            </w:r>
          </w:p>
          <w:p>
            <w:pPr>
              <w:spacing w:line="240" w:lineRule="auto"/>
              <w:ind w:firstLine="0" w:firstLineChars="0"/>
              <w:rPr>
                <w:rFonts w:ascii="仿宋" w:hAnsi="仿宋" w:eastAsia="仿宋" w:cs="仿宋"/>
                <w:szCs w:val="24"/>
              </w:rPr>
            </w:pPr>
            <w:r>
              <w:rPr>
                <w:rFonts w:hint="eastAsia" w:ascii="仿宋" w:hAnsi="仿宋" w:eastAsia="仿宋" w:cs="仿宋"/>
                <w:szCs w:val="24"/>
              </w:rPr>
              <w:t>可靠性</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实施计划、人员配置、人力项目节点投入合理性、项目进度及质量可靠性、项目实施方法论的合理性及成熟性，提供与本项目内容类似项目经验借鉴参考。相对较好4分，一般得2分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2.2</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咨询规划</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提供系统规划、流程梳理、门户规划、系统集成梳理建议方案及大型国企流程梳理案例借鉴。相对较好4分，一般得2分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培训方案</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培训方案完整、合理（含培训时间、培训次数、培训人数、各阶段培训内容、集团及下属公司人员培训推广方法等）进行综合评分.相对较好4分，一般得2分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2.4</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项目团队</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提供项目经理简历表，须协同管理项目经验5年以上、在大型国企集团协同管理项目担任项目经理、拥有全集团数字化办公平台推广经验。满足要求得6分，不满足一项扣2分</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2.5</w:t>
            </w:r>
          </w:p>
        </w:tc>
        <w:tc>
          <w:tcPr>
            <w:tcW w:w="160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性能测试报告</w:t>
            </w:r>
          </w:p>
        </w:tc>
        <w:tc>
          <w:tcPr>
            <w:tcW w:w="5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cs="仿宋"/>
                <w:szCs w:val="24"/>
              </w:rPr>
            </w:pPr>
            <w:r>
              <w:rPr>
                <w:rFonts w:hint="eastAsia" w:ascii="仿宋" w:hAnsi="仿宋" w:eastAsia="仿宋" w:cs="仿宋"/>
                <w:szCs w:val="24"/>
              </w:rPr>
              <w:t>提供专业的系统硬件架构方案，提供类似需求项目系统性能测试报告，需满足并发2500用户，系统流程审批正常响应速度在3秒以内</w:t>
            </w:r>
          </w:p>
        </w:tc>
        <w:tc>
          <w:tcPr>
            <w:tcW w:w="9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721" w:type="dxa"/>
            <w:gridSpan w:val="3"/>
            <w:tcBorders>
              <w:top w:val="single" w:color="auto" w:sz="4" w:space="0"/>
              <w:left w:val="single" w:color="auto" w:sz="4" w:space="0"/>
              <w:bottom w:val="single" w:color="auto" w:sz="4" w:space="0"/>
              <w:right w:val="single" w:color="auto" w:sz="4" w:space="0"/>
            </w:tcBorders>
            <w:shd w:val="clear" w:color="auto" w:fill="E7E6E6" w:themeFill="background2"/>
            <w:vAlign w:val="center"/>
          </w:tcPr>
          <w:p>
            <w:pPr>
              <w:spacing w:line="240" w:lineRule="auto"/>
              <w:ind w:firstLine="480"/>
              <w:jc w:val="center"/>
              <w:rPr>
                <w:rFonts w:ascii="仿宋" w:hAnsi="仿宋" w:eastAsia="仿宋" w:cs="仿宋"/>
                <w:szCs w:val="24"/>
              </w:rPr>
            </w:pPr>
            <w:r>
              <w:rPr>
                <w:rFonts w:hint="eastAsia" w:ascii="仿宋" w:hAnsi="仿宋" w:eastAsia="仿宋" w:cs="仿宋"/>
                <w:szCs w:val="24"/>
              </w:rPr>
              <w:t>实施方案合计</w:t>
            </w:r>
          </w:p>
        </w:tc>
        <w:tc>
          <w:tcPr>
            <w:tcW w:w="942" w:type="dxa"/>
            <w:tcBorders>
              <w:top w:val="single" w:color="auto" w:sz="4" w:space="0"/>
              <w:left w:val="single" w:color="auto" w:sz="4" w:space="0"/>
              <w:bottom w:val="single" w:color="auto" w:sz="4" w:space="0"/>
              <w:right w:val="single" w:color="auto" w:sz="4" w:space="0"/>
            </w:tcBorders>
            <w:shd w:val="clear" w:color="auto" w:fill="E7E6E6" w:themeFill="background2"/>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721" w:type="dxa"/>
            <w:gridSpan w:val="3"/>
            <w:tcBorders>
              <w:top w:val="single" w:color="auto" w:sz="4" w:space="0"/>
              <w:left w:val="single" w:color="auto" w:sz="4" w:space="0"/>
              <w:bottom w:val="single" w:color="auto" w:sz="4" w:space="0"/>
              <w:right w:val="single" w:color="auto" w:sz="4" w:space="0"/>
            </w:tcBorders>
            <w:shd w:val="clear" w:color="auto" w:fill="B4C6E7" w:themeFill="accent5" w:themeFillTint="66"/>
            <w:vAlign w:val="center"/>
          </w:tcPr>
          <w:p>
            <w:pPr>
              <w:spacing w:line="240" w:lineRule="auto"/>
              <w:ind w:firstLine="480"/>
              <w:jc w:val="center"/>
              <w:rPr>
                <w:rFonts w:ascii="仿宋" w:hAnsi="仿宋" w:eastAsia="仿宋" w:cs="仿宋"/>
                <w:szCs w:val="24"/>
              </w:rPr>
            </w:pPr>
            <w:r>
              <w:rPr>
                <w:rFonts w:hint="eastAsia" w:ascii="仿宋" w:hAnsi="仿宋" w:eastAsia="仿宋" w:cs="仿宋"/>
                <w:szCs w:val="24"/>
              </w:rPr>
              <w:t>技术评分总计</w:t>
            </w:r>
          </w:p>
        </w:tc>
        <w:tc>
          <w:tcPr>
            <w:tcW w:w="942" w:type="dxa"/>
            <w:tcBorders>
              <w:top w:val="single" w:color="auto" w:sz="4" w:space="0"/>
              <w:left w:val="single" w:color="auto" w:sz="4" w:space="0"/>
              <w:bottom w:val="single" w:color="auto" w:sz="4" w:space="0"/>
              <w:right w:val="single" w:color="auto" w:sz="4" w:space="0"/>
            </w:tcBorders>
            <w:shd w:val="clear" w:color="auto" w:fill="B4C6E7" w:themeFill="accent5" w:themeFillTint="66"/>
            <w:vAlign w:val="center"/>
          </w:tcPr>
          <w:p>
            <w:pPr>
              <w:spacing w:line="240" w:lineRule="auto"/>
              <w:ind w:firstLine="0" w:firstLineChars="0"/>
              <w:jc w:val="center"/>
              <w:rPr>
                <w:rFonts w:ascii="仿宋" w:hAnsi="仿宋" w:eastAsia="仿宋" w:cs="仿宋"/>
                <w:szCs w:val="24"/>
              </w:rPr>
            </w:pPr>
            <w:r>
              <w:rPr>
                <w:rFonts w:hint="eastAsia" w:ascii="仿宋" w:hAnsi="仿宋" w:eastAsia="仿宋" w:cs="仿宋"/>
                <w:szCs w:val="24"/>
              </w:rPr>
              <w:t>70</w:t>
            </w:r>
          </w:p>
        </w:tc>
      </w:tr>
    </w:tbl>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spacing w:line="560" w:lineRule="exact"/>
        <w:ind w:firstLine="640"/>
        <w:rPr>
          <w:rFonts w:ascii="仿宋_GB2312" w:hAnsi="仿宋_GB2312" w:eastAsia="仿宋_GB2312" w:cs="仿宋_GB2312"/>
          <w:sz w:val="32"/>
          <w:szCs w:val="32"/>
        </w:rPr>
      </w:pPr>
    </w:p>
    <w:p>
      <w:pPr>
        <w:pStyle w:val="2"/>
        <w:spacing w:line="560" w:lineRule="exact"/>
        <w:rPr>
          <w:rFonts w:hint="eastAsia" w:ascii="方正小标宋简体" w:eastAsia="方正小标宋简体" w:cs="黑体"/>
          <w:b w:val="0"/>
          <w:bCs w:val="0"/>
          <w:kern w:val="0"/>
          <w:sz w:val="44"/>
          <w:szCs w:val="44"/>
        </w:rPr>
      </w:pPr>
      <w:bookmarkStart w:id="117" w:name="_Toc32383"/>
      <w:r>
        <w:rPr>
          <w:rFonts w:hint="eastAsia" w:ascii="方正小标宋简体" w:eastAsia="方正小标宋简体" w:cs="黑体"/>
          <w:b w:val="0"/>
          <w:bCs w:val="0"/>
          <w:kern w:val="0"/>
          <w:sz w:val="44"/>
          <w:szCs w:val="44"/>
        </w:rPr>
        <w:t>投标文件格式</w:t>
      </w:r>
      <w:bookmarkEnd w:id="117"/>
    </w:p>
    <w:p>
      <w:pPr>
        <w:ind w:firstLine="480"/>
        <w:rPr>
          <w:rFonts w:ascii="仿宋" w:hAnsi="仿宋" w:eastAsia="仿宋"/>
        </w:rPr>
      </w:pPr>
      <w:bookmarkStart w:id="118" w:name="_Toc365368986"/>
      <w:bookmarkStart w:id="119" w:name="_Toc365318733"/>
      <w:bookmarkStart w:id="120" w:name="_Toc335848589"/>
      <w:bookmarkStart w:id="121" w:name="_Toc361661619"/>
    </w:p>
    <w:p>
      <w:pPr>
        <w:ind w:firstLine="562"/>
        <w:jc w:val="center"/>
        <w:rPr>
          <w:rFonts w:ascii="仿宋" w:hAnsi="仿宋" w:eastAsia="仿宋"/>
          <w:b/>
          <w:sz w:val="28"/>
          <w:szCs w:val="28"/>
        </w:rPr>
      </w:pPr>
      <w:r>
        <w:rPr>
          <w:rFonts w:hint="eastAsia" w:ascii="仿宋" w:hAnsi="仿宋" w:eastAsia="仿宋"/>
          <w:b/>
          <w:sz w:val="28"/>
          <w:szCs w:val="28"/>
        </w:rPr>
        <w:t>（本章格式文件可供参考，投标人可根据项目实际需求进行编制）</w:t>
      </w:r>
    </w:p>
    <w:p>
      <w:pPr>
        <w:pStyle w:val="82"/>
        <w:spacing w:line="360" w:lineRule="auto"/>
        <w:rPr>
          <w:rFonts w:ascii="仿宋" w:hAnsi="仿宋" w:eastAsia="仿宋"/>
          <w:color w:val="auto"/>
        </w:rPr>
      </w:pPr>
    </w:p>
    <w:p>
      <w:pPr>
        <w:pStyle w:val="82"/>
        <w:spacing w:line="360" w:lineRule="auto"/>
        <w:jc w:val="center"/>
        <w:rPr>
          <w:rFonts w:ascii="仿宋" w:hAnsi="仿宋" w:eastAsia="仿宋"/>
          <w:color w:val="auto"/>
          <w:sz w:val="32"/>
          <w:szCs w:val="32"/>
        </w:rPr>
      </w:pPr>
      <w:r>
        <w:rPr>
          <w:rFonts w:hint="eastAsia" w:ascii="仿宋" w:hAnsi="仿宋" w:eastAsia="仿宋"/>
          <w:color w:val="auto"/>
          <w:sz w:val="32"/>
          <w:szCs w:val="32"/>
        </w:rPr>
        <w:t>（封面）</w:t>
      </w:r>
    </w:p>
    <w:p>
      <w:pPr>
        <w:ind w:firstLine="1446"/>
        <w:jc w:val="center"/>
        <w:rPr>
          <w:rFonts w:ascii="仿宋" w:hAnsi="仿宋" w:eastAsia="仿宋"/>
          <w:b/>
          <w:sz w:val="72"/>
        </w:rPr>
      </w:pPr>
    </w:p>
    <w:p>
      <w:pPr>
        <w:ind w:firstLine="1446"/>
        <w:rPr>
          <w:rFonts w:ascii="仿宋" w:hAnsi="仿宋" w:eastAsia="仿宋"/>
          <w:b/>
          <w:sz w:val="72"/>
        </w:rPr>
      </w:pPr>
      <w:r>
        <w:rPr>
          <w:rFonts w:hint="eastAsia" w:ascii="仿宋" w:hAnsi="仿宋" w:eastAsia="仿宋"/>
          <w:b/>
          <w:sz w:val="72"/>
        </w:rPr>
        <w:t>投  标  文  件</w:t>
      </w:r>
    </w:p>
    <w:p>
      <w:pPr>
        <w:ind w:firstLine="723"/>
        <w:rPr>
          <w:rFonts w:ascii="仿宋" w:hAnsi="仿宋" w:eastAsia="仿宋"/>
          <w:b/>
          <w:sz w:val="36"/>
        </w:rPr>
      </w:pPr>
    </w:p>
    <w:p>
      <w:pPr>
        <w:ind w:firstLine="0" w:firstLineChars="0"/>
        <w:jc w:val="left"/>
        <w:rPr>
          <w:rFonts w:ascii="仿宋" w:hAnsi="仿宋" w:eastAsia="仿宋"/>
          <w:b/>
          <w:spacing w:val="28"/>
          <w:sz w:val="36"/>
          <w:szCs w:val="24"/>
        </w:rPr>
      </w:pPr>
      <w:r>
        <w:rPr>
          <w:rFonts w:hint="eastAsia" w:ascii="仿宋" w:hAnsi="仿宋" w:eastAsia="仿宋"/>
          <w:b/>
          <w:sz w:val="36"/>
        </w:rPr>
        <w:t>项 目 名 称：</w:t>
      </w:r>
      <w:r>
        <w:rPr>
          <w:rFonts w:hint="eastAsia" w:ascii="仿宋" w:hAnsi="仿宋" w:eastAsia="仿宋"/>
          <w:b/>
          <w:spacing w:val="28"/>
          <w:sz w:val="36"/>
          <w:szCs w:val="24"/>
        </w:rPr>
        <w:t>思明控股统一协同办公系统</w:t>
      </w:r>
    </w:p>
    <w:p>
      <w:pPr>
        <w:ind w:firstLine="0" w:firstLineChars="0"/>
        <w:jc w:val="left"/>
        <w:rPr>
          <w:rFonts w:ascii="仿宋" w:hAnsi="仿宋" w:eastAsia="仿宋"/>
          <w:b/>
          <w:sz w:val="36"/>
          <w:u w:val="single"/>
        </w:rPr>
      </w:pPr>
      <w:r>
        <w:rPr>
          <w:rFonts w:hint="eastAsia" w:ascii="仿宋" w:hAnsi="仿宋" w:eastAsia="仿宋"/>
          <w:b/>
          <w:sz w:val="36"/>
        </w:rPr>
        <w:t>编 号：</w:t>
      </w:r>
      <w:r>
        <w:rPr>
          <w:rFonts w:hint="eastAsia" w:ascii="仿宋" w:hAnsi="仿宋" w:eastAsia="仿宋"/>
          <w:b/>
          <w:spacing w:val="28"/>
          <w:sz w:val="36"/>
          <w:szCs w:val="24"/>
        </w:rPr>
        <w:t>XMKYSK-2022003</w:t>
      </w:r>
    </w:p>
    <w:p>
      <w:pPr>
        <w:ind w:firstLine="723"/>
        <w:jc w:val="left"/>
        <w:rPr>
          <w:rFonts w:ascii="仿宋" w:hAnsi="仿宋" w:eastAsia="仿宋"/>
          <w:b/>
          <w:sz w:val="36"/>
        </w:rPr>
      </w:pPr>
    </w:p>
    <w:p>
      <w:pPr>
        <w:ind w:firstLine="723"/>
        <w:jc w:val="left"/>
        <w:rPr>
          <w:rFonts w:ascii="仿宋" w:hAnsi="仿宋" w:eastAsia="仿宋"/>
          <w:b/>
          <w:sz w:val="36"/>
        </w:rPr>
      </w:pPr>
    </w:p>
    <w:p>
      <w:pPr>
        <w:ind w:firstLine="0" w:firstLineChars="0"/>
        <w:jc w:val="left"/>
        <w:rPr>
          <w:rFonts w:ascii="仿宋" w:hAnsi="仿宋" w:eastAsia="仿宋"/>
          <w:b/>
          <w:sz w:val="36"/>
        </w:rPr>
      </w:pPr>
      <w:r>
        <w:rPr>
          <w:rFonts w:hint="eastAsia" w:ascii="仿宋" w:hAnsi="仿宋" w:eastAsia="仿宋"/>
          <w:b/>
          <w:sz w:val="36"/>
        </w:rPr>
        <w:t>投标人名称 ：</w:t>
      </w:r>
    </w:p>
    <w:p>
      <w:pPr>
        <w:ind w:firstLine="0" w:firstLineChars="0"/>
        <w:jc w:val="left"/>
        <w:rPr>
          <w:rFonts w:ascii="仿宋" w:hAnsi="仿宋" w:eastAsia="仿宋"/>
          <w:b/>
          <w:sz w:val="36"/>
        </w:rPr>
      </w:pPr>
      <w:r>
        <w:rPr>
          <w:rFonts w:hint="eastAsia" w:ascii="仿宋" w:hAnsi="仿宋" w:eastAsia="仿宋"/>
          <w:b/>
          <w:sz w:val="36"/>
        </w:rPr>
        <w:t>日      期 ：</w:t>
      </w:r>
    </w:p>
    <w:p>
      <w:pPr>
        <w:pStyle w:val="83"/>
        <w:spacing w:line="360" w:lineRule="auto"/>
        <w:jc w:val="left"/>
        <w:rPr>
          <w:rFonts w:ascii="仿宋" w:hAnsi="仿宋" w:eastAsia="仿宋"/>
          <w:b/>
          <w:sz w:val="24"/>
        </w:rPr>
      </w:pPr>
    </w:p>
    <w:p>
      <w:pPr>
        <w:pStyle w:val="83"/>
        <w:spacing w:line="360" w:lineRule="auto"/>
        <w:jc w:val="left"/>
        <w:rPr>
          <w:rFonts w:ascii="仿宋" w:hAnsi="仿宋" w:eastAsia="仿宋"/>
          <w:b/>
          <w:sz w:val="24"/>
        </w:rPr>
      </w:pPr>
    </w:p>
    <w:p>
      <w:pPr>
        <w:pStyle w:val="12"/>
        <w:snapToGrid w:val="0"/>
        <w:spacing w:line="360" w:lineRule="auto"/>
        <w:ind w:firstLine="0"/>
        <w:rPr>
          <w:rFonts w:ascii="仿宋" w:hAnsi="仿宋" w:eastAsia="仿宋"/>
          <w:b/>
          <w:bCs/>
          <w:sz w:val="32"/>
        </w:rPr>
      </w:pPr>
    </w:p>
    <w:p>
      <w:pPr>
        <w:pStyle w:val="12"/>
        <w:snapToGrid w:val="0"/>
        <w:spacing w:line="360" w:lineRule="auto"/>
        <w:rPr>
          <w:rFonts w:ascii="仿宋_GB2312" w:hAnsi="仿宋_GB2312" w:eastAsia="仿宋_GB2312" w:cs="仿宋_GB2312"/>
          <w:sz w:val="32"/>
          <w:szCs w:val="32"/>
          <w:lang w:val="en-US"/>
        </w:rPr>
      </w:pPr>
    </w:p>
    <w:p>
      <w:pPr>
        <w:pStyle w:val="12"/>
        <w:snapToGrid w:val="0"/>
        <w:spacing w:line="500" w:lineRule="exact"/>
        <w:ind w:firstLine="3855" w:firstLineChars="1200"/>
        <w:rPr>
          <w:rFonts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目    录</w:t>
      </w:r>
    </w:p>
    <w:p>
      <w:pPr>
        <w:spacing w:line="500" w:lineRule="exact"/>
        <w:ind w:firstLine="640"/>
        <w:rPr>
          <w:rFonts w:ascii="仿宋_GB2312" w:hAnsi="仿宋_GB2312" w:eastAsia="仿宋_GB2312" w:cs="仿宋_GB2312"/>
          <w:sz w:val="32"/>
          <w:szCs w:val="32"/>
        </w:rPr>
      </w:pPr>
    </w:p>
    <w:p>
      <w:pPr>
        <w:ind w:firstLine="480"/>
        <w:rPr>
          <w:rFonts w:ascii="仿宋" w:hAnsi="仿宋" w:eastAsia="仿宋" w:cs="仿宋"/>
          <w:szCs w:val="24"/>
        </w:rPr>
      </w:pPr>
      <w:r>
        <w:rPr>
          <w:rFonts w:hint="eastAsia" w:ascii="仿宋" w:hAnsi="仿宋" w:eastAsia="仿宋" w:cs="仿宋"/>
          <w:szCs w:val="24"/>
        </w:rPr>
        <w:t>1. 投标一览表</w:t>
      </w:r>
    </w:p>
    <w:p>
      <w:pPr>
        <w:ind w:firstLine="480"/>
        <w:rPr>
          <w:rFonts w:ascii="仿宋" w:hAnsi="仿宋" w:eastAsia="仿宋" w:cs="仿宋"/>
          <w:szCs w:val="24"/>
        </w:rPr>
      </w:pPr>
      <w:r>
        <w:rPr>
          <w:rFonts w:hint="eastAsia" w:ascii="仿宋" w:hAnsi="仿宋" w:eastAsia="仿宋" w:cs="仿宋"/>
          <w:szCs w:val="24"/>
        </w:rPr>
        <w:t>2. 投标商务报价明细表</w:t>
      </w:r>
    </w:p>
    <w:p>
      <w:pPr>
        <w:ind w:firstLine="480"/>
        <w:rPr>
          <w:rFonts w:ascii="仿宋" w:hAnsi="仿宋" w:eastAsia="仿宋" w:cs="仿宋"/>
          <w:szCs w:val="24"/>
        </w:rPr>
      </w:pPr>
      <w:r>
        <w:rPr>
          <w:rFonts w:hint="eastAsia" w:ascii="仿宋" w:hAnsi="仿宋" w:eastAsia="仿宋" w:cs="仿宋"/>
          <w:szCs w:val="24"/>
        </w:rPr>
        <w:t>3. 法定代表人资格证明书</w:t>
      </w:r>
    </w:p>
    <w:p>
      <w:pPr>
        <w:ind w:firstLine="480"/>
        <w:rPr>
          <w:rFonts w:ascii="仿宋" w:hAnsi="仿宋" w:eastAsia="仿宋" w:cs="仿宋"/>
          <w:szCs w:val="24"/>
        </w:rPr>
      </w:pPr>
      <w:r>
        <w:rPr>
          <w:rFonts w:hint="eastAsia" w:ascii="仿宋" w:hAnsi="仿宋" w:eastAsia="仿宋" w:cs="仿宋"/>
          <w:szCs w:val="24"/>
        </w:rPr>
        <w:t>4. 法定代表人授权委托书</w:t>
      </w:r>
    </w:p>
    <w:p>
      <w:pPr>
        <w:ind w:left="480" w:leftChars="200" w:firstLine="0" w:firstLineChars="0"/>
        <w:rPr>
          <w:rFonts w:ascii="仿宋" w:hAnsi="仿宋" w:eastAsia="仿宋" w:cs="仿宋"/>
          <w:szCs w:val="24"/>
        </w:rPr>
      </w:pPr>
      <w:r>
        <w:rPr>
          <w:rFonts w:hint="eastAsia" w:ascii="仿宋" w:hAnsi="仿宋" w:eastAsia="仿宋" w:cs="仿宋"/>
          <w:szCs w:val="24"/>
        </w:rPr>
        <w:t>5. 投标单位的资质证明材料</w:t>
      </w:r>
      <w:r>
        <w:rPr>
          <w:rFonts w:hint="eastAsia" w:ascii="仿宋" w:hAnsi="仿宋" w:eastAsia="仿宋" w:cs="仿宋"/>
          <w:szCs w:val="24"/>
        </w:rPr>
        <w:cr/>
      </w:r>
      <w:r>
        <w:rPr>
          <w:rFonts w:hint="eastAsia" w:ascii="仿宋" w:hAnsi="仿宋" w:eastAsia="仿宋" w:cs="仿宋"/>
          <w:szCs w:val="24"/>
        </w:rPr>
        <w:t>6. 商务偏离表</w:t>
      </w:r>
    </w:p>
    <w:p>
      <w:pPr>
        <w:ind w:firstLine="480"/>
        <w:rPr>
          <w:rFonts w:ascii="仿宋" w:hAnsi="仿宋" w:eastAsia="仿宋" w:cs="仿宋"/>
          <w:szCs w:val="24"/>
        </w:rPr>
      </w:pPr>
      <w:r>
        <w:rPr>
          <w:rFonts w:hint="eastAsia" w:ascii="仿宋" w:hAnsi="仿宋" w:eastAsia="仿宋" w:cs="仿宋"/>
          <w:szCs w:val="24"/>
        </w:rPr>
        <w:t>7. 廉洁诚信承诺书</w:t>
      </w:r>
    </w:p>
    <w:p>
      <w:pPr>
        <w:ind w:firstLine="480"/>
        <w:rPr>
          <w:rFonts w:ascii="仿宋" w:hAnsi="仿宋" w:eastAsia="仿宋" w:cs="仿宋"/>
          <w:szCs w:val="24"/>
        </w:rPr>
      </w:pPr>
      <w:r>
        <w:rPr>
          <w:rFonts w:hint="eastAsia" w:ascii="仿宋" w:hAnsi="仿宋" w:eastAsia="仿宋" w:cs="仿宋"/>
          <w:szCs w:val="24"/>
        </w:rPr>
        <w:t>8. 售后服务承诺函</w:t>
      </w:r>
    </w:p>
    <w:p>
      <w:pPr>
        <w:ind w:firstLine="480"/>
        <w:rPr>
          <w:rFonts w:ascii="仿宋" w:hAnsi="仿宋" w:eastAsia="仿宋" w:cs="仿宋"/>
          <w:szCs w:val="24"/>
        </w:rPr>
      </w:pPr>
      <w:r>
        <w:rPr>
          <w:rFonts w:hint="eastAsia" w:ascii="仿宋" w:hAnsi="仿宋" w:eastAsia="仿宋" w:cs="仿宋"/>
          <w:szCs w:val="24"/>
        </w:rPr>
        <w:t>9. 技术规格偏差表</w:t>
      </w:r>
    </w:p>
    <w:p>
      <w:pPr>
        <w:ind w:firstLine="480"/>
        <w:rPr>
          <w:rFonts w:ascii="仿宋" w:hAnsi="仿宋" w:eastAsia="仿宋" w:cs="仿宋"/>
          <w:szCs w:val="24"/>
        </w:rPr>
      </w:pPr>
      <w:r>
        <w:rPr>
          <w:rFonts w:hint="eastAsia" w:ascii="仿宋" w:hAnsi="仿宋" w:eastAsia="仿宋" w:cs="仿宋"/>
          <w:szCs w:val="24"/>
        </w:rPr>
        <w:t>10. 采购合同（以招标人与中标人协商结果为最终合同）</w:t>
      </w:r>
    </w:p>
    <w:p>
      <w:pPr>
        <w:spacing w:line="440" w:lineRule="exact"/>
        <w:ind w:firstLine="643"/>
        <w:rPr>
          <w:rFonts w:ascii="仿宋" w:hAnsi="仿宋" w:eastAsia="仿宋"/>
          <w:b/>
          <w:sz w:val="32"/>
          <w:szCs w:val="32"/>
        </w:rPr>
      </w:pPr>
    </w:p>
    <w:p>
      <w:pPr>
        <w:spacing w:line="440" w:lineRule="exact"/>
        <w:ind w:firstLine="643"/>
        <w:rPr>
          <w:rFonts w:ascii="仿宋" w:hAnsi="仿宋" w:eastAsia="仿宋"/>
          <w:b/>
          <w:sz w:val="32"/>
          <w:szCs w:val="32"/>
        </w:rPr>
      </w:pPr>
      <w:r>
        <w:rPr>
          <w:rFonts w:ascii="仿宋" w:hAnsi="仿宋" w:eastAsia="仿宋"/>
          <w:b/>
          <w:sz w:val="32"/>
          <w:szCs w:val="32"/>
        </w:rPr>
        <w:t>说明：投标人应按投标文件的实际情况编制目录</w:t>
      </w:r>
    </w:p>
    <w:p>
      <w:pPr>
        <w:spacing w:line="440" w:lineRule="exact"/>
        <w:ind w:firstLine="643"/>
        <w:rPr>
          <w:rFonts w:ascii="仿宋" w:hAnsi="仿宋" w:eastAsia="仿宋"/>
          <w:b/>
          <w:sz w:val="32"/>
          <w:szCs w:val="32"/>
        </w:rPr>
      </w:pPr>
    </w:p>
    <w:p>
      <w:pPr>
        <w:spacing w:line="440" w:lineRule="exact"/>
        <w:ind w:firstLine="643"/>
        <w:rPr>
          <w:rFonts w:ascii="仿宋" w:hAnsi="仿宋" w:eastAsia="仿宋"/>
          <w:b/>
          <w:sz w:val="32"/>
          <w:szCs w:val="32"/>
        </w:rPr>
      </w:pPr>
    </w:p>
    <w:p>
      <w:pPr>
        <w:spacing w:line="440" w:lineRule="exact"/>
        <w:ind w:firstLine="643"/>
        <w:rPr>
          <w:rFonts w:ascii="仿宋" w:hAnsi="仿宋" w:eastAsia="仿宋"/>
          <w:b/>
          <w:sz w:val="32"/>
          <w:szCs w:val="32"/>
        </w:rPr>
      </w:pPr>
    </w:p>
    <w:p>
      <w:pPr>
        <w:spacing w:line="440" w:lineRule="exact"/>
        <w:ind w:firstLine="643"/>
        <w:rPr>
          <w:rFonts w:ascii="仿宋" w:hAnsi="仿宋" w:eastAsia="仿宋"/>
          <w:b/>
          <w:sz w:val="32"/>
          <w:szCs w:val="32"/>
        </w:rPr>
      </w:pPr>
    </w:p>
    <w:p>
      <w:pPr>
        <w:spacing w:line="440" w:lineRule="exact"/>
        <w:ind w:firstLine="643"/>
        <w:rPr>
          <w:rFonts w:ascii="仿宋" w:hAnsi="仿宋" w:eastAsia="仿宋"/>
          <w:b/>
          <w:sz w:val="32"/>
          <w:szCs w:val="32"/>
        </w:rPr>
      </w:pPr>
    </w:p>
    <w:p>
      <w:pPr>
        <w:spacing w:line="440" w:lineRule="exact"/>
        <w:ind w:firstLine="643"/>
        <w:rPr>
          <w:rFonts w:ascii="仿宋" w:hAnsi="仿宋" w:eastAsia="仿宋"/>
          <w:b/>
          <w:sz w:val="32"/>
          <w:szCs w:val="32"/>
        </w:rPr>
      </w:pPr>
    </w:p>
    <w:p>
      <w:pPr>
        <w:spacing w:line="440" w:lineRule="exact"/>
        <w:ind w:firstLine="643"/>
        <w:rPr>
          <w:rFonts w:ascii="仿宋" w:hAnsi="仿宋" w:eastAsia="仿宋"/>
          <w:b/>
          <w:sz w:val="32"/>
          <w:szCs w:val="32"/>
        </w:rPr>
      </w:pPr>
    </w:p>
    <w:p>
      <w:pPr>
        <w:pStyle w:val="76"/>
      </w:pPr>
      <w:bookmarkStart w:id="122" w:name="_Toc17501"/>
      <w:r>
        <w:rPr>
          <w:rFonts w:hint="eastAsia"/>
        </w:rPr>
        <w:t>格式一：投标一览表</w:t>
      </w:r>
      <w:bookmarkEnd w:id="118"/>
      <w:bookmarkEnd w:id="119"/>
      <w:bookmarkEnd w:id="120"/>
      <w:bookmarkEnd w:id="122"/>
      <w:bookmarkStart w:id="123" w:name="_Toc106527636"/>
    </w:p>
    <w:p>
      <w:pPr>
        <w:spacing w:line="50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投标一览表</w:t>
      </w:r>
      <w:bookmarkEnd w:id="123"/>
    </w:p>
    <w:p>
      <w:pPr>
        <w:widowControl/>
        <w:spacing w:line="560" w:lineRule="exact"/>
        <w:ind w:firstLine="480"/>
        <w:rPr>
          <w:rFonts w:ascii="仿宋" w:hAnsi="仿宋" w:eastAsia="仿宋" w:cs="仿宋"/>
          <w:color w:val="000000"/>
          <w:szCs w:val="24"/>
        </w:rPr>
      </w:pPr>
    </w:p>
    <w:p>
      <w:pPr>
        <w:spacing w:line="560" w:lineRule="exact"/>
        <w:ind w:firstLine="0" w:firstLineChars="0"/>
        <w:rPr>
          <w:rFonts w:ascii="仿宋" w:hAnsi="仿宋" w:eastAsia="仿宋" w:cs="仿宋"/>
          <w:szCs w:val="24"/>
        </w:rPr>
      </w:pPr>
      <w:r>
        <w:rPr>
          <w:rFonts w:hint="eastAsia" w:ascii="仿宋" w:hAnsi="仿宋" w:eastAsia="仿宋" w:cs="仿宋"/>
          <w:color w:val="000000"/>
          <w:szCs w:val="24"/>
        </w:rPr>
        <w:t>投标人名称：</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招标编号：</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 xml:space="preserve">   </w:t>
      </w:r>
    </w:p>
    <w:p>
      <w:pPr>
        <w:spacing w:line="560" w:lineRule="exact"/>
        <w:ind w:firstLine="0" w:firstLineChars="0"/>
        <w:rPr>
          <w:rFonts w:ascii="仿宋" w:hAnsi="仿宋" w:eastAsia="仿宋" w:cs="仿宋"/>
          <w:color w:val="000000"/>
          <w:szCs w:val="24"/>
        </w:rPr>
      </w:pPr>
      <w:r>
        <w:rPr>
          <w:rFonts w:hint="eastAsia" w:ascii="仿宋" w:hAnsi="仿宋" w:eastAsia="仿宋" w:cs="仿宋"/>
          <w:color w:val="000000"/>
          <w:szCs w:val="24"/>
        </w:rPr>
        <w:t>标包：</w:t>
      </w:r>
      <w:r>
        <w:rPr>
          <w:rFonts w:hint="eastAsia" w:ascii="仿宋" w:hAnsi="仿宋" w:eastAsia="仿宋" w:cs="仿宋"/>
          <w:color w:val="000000"/>
          <w:szCs w:val="24"/>
          <w:u w:val="single"/>
        </w:rPr>
        <w:t>不划分</w:t>
      </w:r>
      <w:r>
        <w:rPr>
          <w:rFonts w:hint="eastAsia" w:ascii="仿宋" w:hAnsi="仿宋" w:eastAsia="仿宋" w:cs="仿宋"/>
          <w:color w:val="000000"/>
          <w:szCs w:val="24"/>
        </w:rPr>
        <w:t xml:space="preserve">       货币单位：    </w:t>
      </w:r>
      <w:r>
        <w:rPr>
          <w:rFonts w:hint="eastAsia" w:ascii="仿宋" w:hAnsi="仿宋" w:eastAsia="仿宋" w:cs="仿宋"/>
          <w:color w:val="000000"/>
          <w:szCs w:val="24"/>
          <w:u w:val="single"/>
        </w:rPr>
        <w:t>元人民币</w:t>
      </w:r>
    </w:p>
    <w:tbl>
      <w:tblPr>
        <w:tblStyle w:val="34"/>
        <w:tblW w:w="841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268"/>
        <w:gridCol w:w="2411"/>
        <w:gridCol w:w="1854"/>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05" w:hRule="atLeast"/>
        </w:trPr>
        <w:tc>
          <w:tcPr>
            <w:tcW w:w="707" w:type="dxa"/>
            <w:vAlign w:val="center"/>
          </w:tcPr>
          <w:p>
            <w:pPr>
              <w:tabs>
                <w:tab w:val="left" w:pos="120"/>
                <w:tab w:val="left" w:pos="1800"/>
                <w:tab w:val="left" w:pos="3720"/>
                <w:tab w:val="left" w:pos="5880"/>
                <w:tab w:val="left" w:pos="7800"/>
              </w:tabs>
              <w:spacing w:line="560" w:lineRule="exact"/>
              <w:ind w:firstLine="0" w:firstLineChars="0"/>
              <w:jc w:val="left"/>
              <w:rPr>
                <w:rFonts w:ascii="仿宋" w:hAnsi="仿宋" w:eastAsia="仿宋" w:cs="仿宋"/>
                <w:b/>
                <w:color w:val="000000"/>
                <w:szCs w:val="24"/>
              </w:rPr>
            </w:pPr>
            <w:r>
              <w:rPr>
                <w:rFonts w:hint="eastAsia" w:ascii="仿宋" w:hAnsi="仿宋" w:eastAsia="仿宋" w:cs="仿宋"/>
                <w:b/>
                <w:color w:val="000000"/>
                <w:szCs w:val="24"/>
              </w:rPr>
              <w:t>序号</w:t>
            </w:r>
          </w:p>
        </w:tc>
        <w:tc>
          <w:tcPr>
            <w:tcW w:w="2268" w:type="dxa"/>
            <w:vAlign w:val="center"/>
          </w:tcPr>
          <w:p>
            <w:pPr>
              <w:tabs>
                <w:tab w:val="left" w:pos="120"/>
                <w:tab w:val="left" w:pos="1800"/>
                <w:tab w:val="left" w:pos="3720"/>
                <w:tab w:val="left" w:pos="5880"/>
                <w:tab w:val="left" w:pos="7800"/>
              </w:tabs>
              <w:spacing w:line="560" w:lineRule="exact"/>
              <w:ind w:firstLine="0" w:firstLineChars="0"/>
              <w:jc w:val="center"/>
              <w:rPr>
                <w:rFonts w:ascii="仿宋" w:hAnsi="仿宋" w:eastAsia="仿宋" w:cs="仿宋"/>
                <w:b/>
                <w:color w:val="000000"/>
                <w:szCs w:val="24"/>
              </w:rPr>
            </w:pPr>
            <w:r>
              <w:rPr>
                <w:rFonts w:hint="eastAsia" w:ascii="仿宋" w:hAnsi="仿宋" w:eastAsia="仿宋" w:cs="仿宋"/>
                <w:b/>
                <w:color w:val="000000"/>
                <w:szCs w:val="24"/>
              </w:rPr>
              <w:t>项目名称</w:t>
            </w:r>
          </w:p>
        </w:tc>
        <w:tc>
          <w:tcPr>
            <w:tcW w:w="2411" w:type="dxa"/>
            <w:vAlign w:val="center"/>
          </w:tcPr>
          <w:p>
            <w:pPr>
              <w:tabs>
                <w:tab w:val="left" w:pos="120"/>
                <w:tab w:val="left" w:pos="1800"/>
                <w:tab w:val="left" w:pos="3720"/>
                <w:tab w:val="left" w:pos="5880"/>
                <w:tab w:val="left" w:pos="7800"/>
              </w:tabs>
              <w:spacing w:line="560" w:lineRule="exact"/>
              <w:ind w:firstLine="0" w:firstLineChars="0"/>
              <w:jc w:val="center"/>
              <w:rPr>
                <w:rFonts w:ascii="仿宋" w:hAnsi="仿宋" w:eastAsia="仿宋" w:cs="仿宋"/>
                <w:b/>
                <w:color w:val="000000"/>
                <w:szCs w:val="24"/>
              </w:rPr>
            </w:pPr>
            <w:r>
              <w:rPr>
                <w:rFonts w:hint="eastAsia" w:ascii="仿宋" w:hAnsi="仿宋" w:eastAsia="仿宋" w:cs="仿宋"/>
                <w:b/>
                <w:color w:val="000000"/>
                <w:szCs w:val="24"/>
              </w:rPr>
              <w:t>投标总价</w:t>
            </w:r>
          </w:p>
          <w:p>
            <w:pPr>
              <w:tabs>
                <w:tab w:val="left" w:pos="120"/>
                <w:tab w:val="left" w:pos="1800"/>
                <w:tab w:val="left" w:pos="3720"/>
                <w:tab w:val="left" w:pos="5880"/>
                <w:tab w:val="left" w:pos="7800"/>
              </w:tabs>
              <w:spacing w:line="560" w:lineRule="exact"/>
              <w:ind w:firstLine="0" w:firstLineChars="0"/>
              <w:jc w:val="center"/>
              <w:rPr>
                <w:rFonts w:ascii="仿宋" w:hAnsi="仿宋" w:eastAsia="仿宋" w:cs="仿宋"/>
                <w:b/>
                <w:color w:val="000000"/>
                <w:szCs w:val="24"/>
              </w:rPr>
            </w:pPr>
            <w:r>
              <w:rPr>
                <w:rFonts w:hint="eastAsia" w:ascii="仿宋" w:hAnsi="仿宋" w:eastAsia="仿宋" w:cs="仿宋"/>
                <w:b/>
                <w:color w:val="000000"/>
                <w:szCs w:val="24"/>
              </w:rPr>
              <w:t>（含税价）</w:t>
            </w:r>
          </w:p>
        </w:tc>
        <w:tc>
          <w:tcPr>
            <w:tcW w:w="1854" w:type="dxa"/>
          </w:tcPr>
          <w:p>
            <w:pPr>
              <w:tabs>
                <w:tab w:val="left" w:pos="120"/>
                <w:tab w:val="left" w:pos="1800"/>
                <w:tab w:val="left" w:pos="3720"/>
                <w:tab w:val="left" w:pos="5880"/>
                <w:tab w:val="left" w:pos="7800"/>
              </w:tabs>
              <w:spacing w:line="560" w:lineRule="exact"/>
              <w:ind w:firstLine="0" w:firstLineChars="0"/>
              <w:jc w:val="center"/>
              <w:rPr>
                <w:rFonts w:ascii="仿宋" w:hAnsi="仿宋" w:eastAsia="仿宋" w:cs="仿宋"/>
                <w:b/>
                <w:color w:val="000000"/>
                <w:szCs w:val="24"/>
              </w:rPr>
            </w:pPr>
            <w:r>
              <w:rPr>
                <w:rFonts w:hint="eastAsia" w:ascii="仿宋" w:hAnsi="仿宋" w:eastAsia="仿宋" w:cs="仿宋"/>
                <w:b/>
                <w:color w:val="000000"/>
                <w:szCs w:val="24"/>
              </w:rPr>
              <w:t>项目进度</w:t>
            </w:r>
          </w:p>
        </w:tc>
        <w:tc>
          <w:tcPr>
            <w:tcW w:w="1171" w:type="dxa"/>
            <w:vAlign w:val="center"/>
          </w:tcPr>
          <w:p>
            <w:pPr>
              <w:tabs>
                <w:tab w:val="left" w:pos="120"/>
                <w:tab w:val="left" w:pos="1800"/>
                <w:tab w:val="left" w:pos="3720"/>
                <w:tab w:val="left" w:pos="5880"/>
                <w:tab w:val="left" w:pos="7800"/>
              </w:tabs>
              <w:spacing w:line="560" w:lineRule="exact"/>
              <w:ind w:firstLine="0" w:firstLineChars="0"/>
              <w:jc w:val="center"/>
              <w:rPr>
                <w:rFonts w:ascii="仿宋" w:hAnsi="仿宋" w:eastAsia="仿宋" w:cs="仿宋"/>
                <w:b/>
                <w:color w:val="000000"/>
                <w:szCs w:val="24"/>
              </w:rPr>
            </w:pPr>
            <w:r>
              <w:rPr>
                <w:rFonts w:hint="eastAsia" w:ascii="仿宋" w:hAnsi="仿宋" w:eastAsia="仿宋" w:cs="仿宋"/>
                <w:b/>
                <w:color w:val="000000"/>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707" w:type="dxa"/>
            <w:vAlign w:val="center"/>
          </w:tcPr>
          <w:p>
            <w:pPr>
              <w:pStyle w:val="30"/>
              <w:spacing w:line="560" w:lineRule="exact"/>
              <w:jc w:val="center"/>
              <w:rPr>
                <w:rFonts w:ascii="仿宋" w:hAnsi="仿宋" w:eastAsia="仿宋" w:cs="仿宋"/>
                <w:color w:val="000000"/>
                <w:szCs w:val="24"/>
              </w:rPr>
            </w:pPr>
            <w:r>
              <w:rPr>
                <w:rFonts w:hint="eastAsia" w:ascii="仿宋" w:hAnsi="仿宋" w:eastAsia="仿宋" w:cs="仿宋"/>
                <w:color w:val="000000"/>
                <w:szCs w:val="24"/>
              </w:rPr>
              <w:t>1</w:t>
            </w:r>
          </w:p>
        </w:tc>
        <w:tc>
          <w:tcPr>
            <w:tcW w:w="2268" w:type="dxa"/>
            <w:vAlign w:val="center"/>
          </w:tcPr>
          <w:p>
            <w:pPr>
              <w:pStyle w:val="30"/>
              <w:spacing w:line="560" w:lineRule="exact"/>
              <w:jc w:val="left"/>
              <w:rPr>
                <w:rFonts w:ascii="仿宋" w:hAnsi="仿宋" w:eastAsia="仿宋" w:cs="仿宋"/>
                <w:color w:val="000000"/>
                <w:szCs w:val="24"/>
              </w:rPr>
            </w:pPr>
            <w:r>
              <w:rPr>
                <w:rFonts w:hint="eastAsia" w:ascii="仿宋" w:hAnsi="仿宋" w:eastAsia="仿宋" w:cs="仿宋"/>
                <w:color w:val="000000"/>
                <w:szCs w:val="24"/>
              </w:rPr>
              <w:t>思明控股统一协同办公系统</w:t>
            </w:r>
          </w:p>
        </w:tc>
        <w:tc>
          <w:tcPr>
            <w:tcW w:w="2411" w:type="dxa"/>
            <w:vAlign w:val="center"/>
          </w:tcPr>
          <w:p>
            <w:pPr>
              <w:pStyle w:val="30"/>
              <w:spacing w:line="560" w:lineRule="exact"/>
              <w:jc w:val="left"/>
              <w:rPr>
                <w:rFonts w:ascii="仿宋" w:hAnsi="仿宋" w:eastAsia="仿宋" w:cs="仿宋"/>
                <w:color w:val="000000"/>
                <w:szCs w:val="24"/>
              </w:rPr>
            </w:pPr>
            <w:r>
              <w:rPr>
                <w:rFonts w:hint="eastAsia" w:ascii="仿宋" w:hAnsi="仿宋" w:eastAsia="仿宋" w:cs="仿宋"/>
                <w:color w:val="000000"/>
                <w:szCs w:val="24"/>
              </w:rPr>
              <w:t>小写：</w:t>
            </w:r>
          </w:p>
          <w:p>
            <w:pPr>
              <w:pStyle w:val="30"/>
              <w:spacing w:line="560" w:lineRule="exact"/>
              <w:jc w:val="left"/>
              <w:rPr>
                <w:rFonts w:ascii="仿宋" w:hAnsi="仿宋" w:eastAsia="仿宋" w:cs="仿宋"/>
                <w:color w:val="000000"/>
                <w:szCs w:val="24"/>
              </w:rPr>
            </w:pPr>
            <w:r>
              <w:rPr>
                <w:rFonts w:hint="eastAsia" w:ascii="仿宋" w:hAnsi="仿宋" w:eastAsia="仿宋" w:cs="仿宋"/>
                <w:color w:val="000000"/>
                <w:szCs w:val="24"/>
              </w:rPr>
              <w:t>大写：</w:t>
            </w:r>
          </w:p>
        </w:tc>
        <w:tc>
          <w:tcPr>
            <w:tcW w:w="1854" w:type="dxa"/>
          </w:tcPr>
          <w:p>
            <w:pPr>
              <w:pStyle w:val="30"/>
              <w:spacing w:line="560" w:lineRule="exact"/>
              <w:ind w:firstLine="360"/>
              <w:jc w:val="left"/>
              <w:rPr>
                <w:rFonts w:ascii="仿宋" w:hAnsi="仿宋" w:eastAsia="仿宋" w:cs="仿宋"/>
                <w:color w:val="000000"/>
                <w:szCs w:val="24"/>
              </w:rPr>
            </w:pPr>
          </w:p>
        </w:tc>
        <w:tc>
          <w:tcPr>
            <w:tcW w:w="1171" w:type="dxa"/>
            <w:vAlign w:val="center"/>
          </w:tcPr>
          <w:p>
            <w:pPr>
              <w:pStyle w:val="30"/>
              <w:spacing w:line="560" w:lineRule="exact"/>
              <w:ind w:firstLine="360"/>
              <w:jc w:val="left"/>
              <w:rPr>
                <w:rFonts w:ascii="仿宋" w:hAnsi="仿宋" w:eastAsia="仿宋" w:cs="仿宋"/>
                <w:color w:val="000000"/>
                <w:szCs w:val="24"/>
              </w:rPr>
            </w:pPr>
          </w:p>
        </w:tc>
      </w:tr>
    </w:tbl>
    <w:p>
      <w:pPr>
        <w:widowControl/>
        <w:spacing w:line="560" w:lineRule="exact"/>
        <w:ind w:right="480" w:firstLine="0" w:firstLineChars="0"/>
        <w:rPr>
          <w:rFonts w:ascii="仿宋" w:hAnsi="仿宋" w:eastAsia="仿宋" w:cs="仿宋"/>
          <w:color w:val="000000"/>
          <w:szCs w:val="24"/>
        </w:rPr>
      </w:pPr>
    </w:p>
    <w:p>
      <w:pPr>
        <w:wordWrap w:val="0"/>
        <w:spacing w:line="560" w:lineRule="exact"/>
        <w:ind w:firstLine="480"/>
        <w:jc w:val="right"/>
        <w:rPr>
          <w:rFonts w:ascii="仿宋" w:hAnsi="仿宋" w:eastAsia="仿宋" w:cs="仿宋"/>
          <w:color w:val="000000"/>
          <w:szCs w:val="24"/>
        </w:rPr>
      </w:pPr>
      <w:r>
        <w:rPr>
          <w:rFonts w:hint="eastAsia" w:ascii="仿宋" w:hAnsi="仿宋" w:eastAsia="仿宋" w:cs="仿宋"/>
          <w:color w:val="000000"/>
          <w:szCs w:val="24"/>
        </w:rPr>
        <w:t>投标人名称：</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（盖单位章）</w:t>
      </w:r>
    </w:p>
    <w:p>
      <w:pPr>
        <w:spacing w:line="560" w:lineRule="exact"/>
        <w:ind w:firstLine="1200" w:firstLineChars="500"/>
        <w:rPr>
          <w:rFonts w:ascii="仿宋" w:hAnsi="仿宋" w:eastAsia="仿宋" w:cs="仿宋"/>
          <w:color w:val="000000"/>
          <w:szCs w:val="24"/>
        </w:rPr>
      </w:pPr>
      <w:r>
        <w:rPr>
          <w:rFonts w:hint="eastAsia" w:ascii="仿宋" w:hAnsi="仿宋" w:eastAsia="仿宋" w:cs="仿宋"/>
          <w:color w:val="000000"/>
          <w:szCs w:val="24"/>
        </w:rPr>
        <w:t>法定代表人或其委托代理人：</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（签字）</w:t>
      </w:r>
    </w:p>
    <w:p>
      <w:pPr>
        <w:widowControl/>
        <w:spacing w:line="560" w:lineRule="exact"/>
        <w:ind w:firstLine="480"/>
        <w:jc w:val="right"/>
        <w:rPr>
          <w:rFonts w:ascii="仿宋" w:hAnsi="仿宋" w:eastAsia="仿宋" w:cs="仿宋"/>
          <w:szCs w:val="24"/>
        </w:rPr>
      </w:pP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年</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月</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日</w:t>
      </w:r>
      <w:bookmarkEnd w:id="121"/>
      <w:bookmarkStart w:id="124" w:name="_Toc361661622"/>
      <w:bookmarkStart w:id="125" w:name="_Toc365367232"/>
      <w:bookmarkStart w:id="126" w:name="_Toc335848590"/>
      <w:bookmarkStart w:id="127" w:name="_Toc365318734"/>
      <w:bookmarkStart w:id="128" w:name="_Toc267921552"/>
      <w:bookmarkStart w:id="129" w:name="_Toc359587709"/>
      <w:bookmarkStart w:id="130" w:name="_Toc359588426"/>
    </w:p>
    <w:p>
      <w:pPr>
        <w:widowControl/>
        <w:spacing w:line="560" w:lineRule="exact"/>
        <w:ind w:firstLine="480"/>
        <w:jc w:val="right"/>
        <w:rPr>
          <w:rFonts w:ascii="仿宋" w:hAnsi="仿宋" w:eastAsia="仿宋" w:cs="仿宋"/>
          <w:szCs w:val="24"/>
        </w:rPr>
      </w:pPr>
    </w:p>
    <w:p>
      <w:pPr>
        <w:widowControl/>
        <w:spacing w:line="560" w:lineRule="exact"/>
        <w:ind w:firstLine="640"/>
        <w:jc w:val="right"/>
        <w:rPr>
          <w:rFonts w:ascii="仿宋_GB2312" w:hAnsi="仿宋_GB2312" w:eastAsia="仿宋_GB2312" w:cs="仿宋_GB2312"/>
          <w:sz w:val="32"/>
          <w:szCs w:val="32"/>
        </w:rPr>
      </w:pPr>
    </w:p>
    <w:p>
      <w:pPr>
        <w:widowControl/>
        <w:spacing w:line="560" w:lineRule="exact"/>
        <w:ind w:firstLine="640"/>
        <w:jc w:val="right"/>
        <w:rPr>
          <w:rFonts w:ascii="仿宋_GB2312" w:hAnsi="仿宋_GB2312" w:eastAsia="仿宋_GB2312" w:cs="仿宋_GB2312"/>
          <w:sz w:val="32"/>
          <w:szCs w:val="32"/>
        </w:rPr>
      </w:pPr>
    </w:p>
    <w:p>
      <w:pPr>
        <w:widowControl/>
        <w:spacing w:line="560" w:lineRule="exact"/>
        <w:ind w:firstLine="640"/>
        <w:jc w:val="right"/>
        <w:rPr>
          <w:rFonts w:ascii="仿宋_GB2312" w:hAnsi="仿宋_GB2312" w:eastAsia="仿宋_GB2312" w:cs="仿宋_GB2312"/>
          <w:sz w:val="32"/>
          <w:szCs w:val="32"/>
        </w:rPr>
      </w:pPr>
    </w:p>
    <w:p>
      <w:pPr>
        <w:widowControl/>
        <w:spacing w:line="560" w:lineRule="exact"/>
        <w:ind w:firstLine="640"/>
        <w:jc w:val="right"/>
        <w:rPr>
          <w:rFonts w:ascii="仿宋_GB2312" w:hAnsi="仿宋_GB2312" w:eastAsia="仿宋_GB2312" w:cs="仿宋_GB2312"/>
          <w:sz w:val="32"/>
          <w:szCs w:val="32"/>
        </w:rPr>
      </w:pPr>
    </w:p>
    <w:p>
      <w:pPr>
        <w:widowControl/>
        <w:spacing w:line="560" w:lineRule="exact"/>
        <w:ind w:firstLine="640"/>
        <w:jc w:val="right"/>
        <w:rPr>
          <w:rFonts w:ascii="仿宋_GB2312" w:hAnsi="仿宋_GB2312" w:eastAsia="仿宋_GB2312" w:cs="仿宋_GB2312"/>
          <w:sz w:val="32"/>
          <w:szCs w:val="32"/>
        </w:rPr>
      </w:pPr>
    </w:p>
    <w:p>
      <w:pPr>
        <w:widowControl/>
        <w:spacing w:line="560" w:lineRule="exact"/>
        <w:ind w:firstLine="640"/>
        <w:jc w:val="right"/>
        <w:rPr>
          <w:rFonts w:ascii="仿宋_GB2312" w:hAnsi="仿宋_GB2312" w:eastAsia="仿宋_GB2312" w:cs="仿宋_GB2312"/>
          <w:sz w:val="32"/>
          <w:szCs w:val="32"/>
        </w:rPr>
      </w:pPr>
    </w:p>
    <w:p>
      <w:pPr>
        <w:widowControl/>
        <w:spacing w:line="560" w:lineRule="exact"/>
        <w:ind w:firstLine="640"/>
        <w:jc w:val="right"/>
        <w:rPr>
          <w:rFonts w:ascii="仿宋_GB2312" w:hAnsi="仿宋_GB2312" w:eastAsia="仿宋_GB2312" w:cs="仿宋_GB2312"/>
          <w:sz w:val="32"/>
          <w:szCs w:val="32"/>
        </w:rPr>
      </w:pPr>
    </w:p>
    <w:p>
      <w:pPr>
        <w:widowControl/>
        <w:spacing w:line="560" w:lineRule="exact"/>
        <w:ind w:firstLine="640"/>
        <w:jc w:val="right"/>
        <w:rPr>
          <w:rFonts w:ascii="仿宋_GB2312" w:hAnsi="仿宋_GB2312" w:eastAsia="仿宋_GB2312" w:cs="仿宋_GB2312"/>
          <w:sz w:val="32"/>
          <w:szCs w:val="32"/>
        </w:rPr>
      </w:pPr>
    </w:p>
    <w:p>
      <w:pPr>
        <w:pStyle w:val="76"/>
        <w:ind w:left="0" w:firstLine="0"/>
      </w:pPr>
      <w:bookmarkStart w:id="131" w:name="_Toc12500"/>
      <w:r>
        <w:rPr>
          <w:rFonts w:hint="eastAsia"/>
        </w:rPr>
        <w:t>格式二：投标商务报价明细表</w:t>
      </w:r>
      <w:bookmarkEnd w:id="124"/>
      <w:bookmarkEnd w:id="125"/>
      <w:bookmarkEnd w:id="126"/>
      <w:bookmarkEnd w:id="127"/>
      <w:bookmarkEnd w:id="131"/>
    </w:p>
    <w:p>
      <w:pPr>
        <w:widowControl w:val="0"/>
        <w:spacing w:after="0" w:line="500" w:lineRule="exact"/>
        <w:ind w:firstLine="0" w:firstLineChars="0"/>
        <w:jc w:val="left"/>
        <w:rPr>
          <w:rFonts w:ascii="仿宋" w:hAnsi="仿宋" w:eastAsia="仿宋" w:cs="仿宋"/>
          <w:szCs w:val="24"/>
        </w:rPr>
      </w:pPr>
      <w:r>
        <w:rPr>
          <w:rFonts w:hint="eastAsia" w:ascii="仿宋" w:hAnsi="仿宋" w:eastAsia="仿宋" w:cs="仿宋"/>
          <w:color w:val="000000"/>
          <w:szCs w:val="24"/>
        </w:rPr>
        <w:t>投标商务报价</w:t>
      </w:r>
      <w:bookmarkEnd w:id="128"/>
      <w:r>
        <w:rPr>
          <w:rFonts w:hint="eastAsia" w:ascii="仿宋" w:hAnsi="仿宋" w:eastAsia="仿宋" w:cs="仿宋"/>
          <w:color w:val="000000"/>
          <w:szCs w:val="24"/>
        </w:rPr>
        <w:t>明细表</w:t>
      </w:r>
      <w:bookmarkEnd w:id="129"/>
      <w:bookmarkEnd w:id="130"/>
      <w:r>
        <w:rPr>
          <w:rFonts w:hint="eastAsia" w:ascii="仿宋" w:hAnsi="仿宋" w:eastAsia="仿宋" w:cs="仿宋"/>
          <w:color w:val="000000"/>
          <w:szCs w:val="24"/>
        </w:rPr>
        <w:t>（含税价）</w:t>
      </w:r>
      <w:bookmarkStart w:id="132" w:name="_Toc267921554"/>
      <w:r>
        <w:rPr>
          <w:rFonts w:hint="eastAsia" w:ascii="仿宋" w:hAnsi="仿宋" w:eastAsia="仿宋" w:cs="仿宋"/>
          <w:color w:val="000000"/>
          <w:szCs w:val="24"/>
        </w:rPr>
        <w:t>投标人名称：</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 xml:space="preserve">  </w:t>
      </w:r>
    </w:p>
    <w:p>
      <w:pPr>
        <w:widowControl/>
        <w:spacing w:after="120" w:line="560" w:lineRule="exact"/>
        <w:ind w:firstLine="228" w:firstLineChars="95"/>
        <w:rPr>
          <w:rFonts w:ascii="仿宋" w:hAnsi="仿宋" w:eastAsia="仿宋" w:cs="仿宋"/>
          <w:color w:val="000000"/>
          <w:szCs w:val="24"/>
          <w:u w:val="single"/>
        </w:rPr>
      </w:pPr>
      <w:r>
        <w:rPr>
          <w:rFonts w:hint="eastAsia" w:ascii="仿宋" w:hAnsi="仿宋" w:eastAsia="仿宋" w:cs="仿宋"/>
          <w:color w:val="000000"/>
          <w:szCs w:val="24"/>
        </w:rPr>
        <w:t>招标编号：</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 xml:space="preserve">    标包：</w:t>
      </w:r>
      <w:r>
        <w:rPr>
          <w:rFonts w:hint="eastAsia" w:ascii="仿宋" w:hAnsi="仿宋" w:eastAsia="仿宋" w:cs="仿宋"/>
          <w:color w:val="000000"/>
          <w:szCs w:val="24"/>
          <w:u w:val="single"/>
        </w:rPr>
        <w:t>不划分</w:t>
      </w:r>
    </w:p>
    <w:tbl>
      <w:tblPr>
        <w:tblStyle w:val="34"/>
        <w:tblpPr w:leftFromText="180" w:rightFromText="180" w:vertAnchor="text" w:horzAnchor="page" w:tblpXSpec="center" w:tblpY="1182"/>
        <w:tblOverlap w:val="never"/>
        <w:tblW w:w="9734" w:type="dxa"/>
        <w:jc w:val="center"/>
        <w:tblInd w:w="0" w:type="dxa"/>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1333"/>
        <w:gridCol w:w="1336"/>
        <w:gridCol w:w="1279"/>
        <w:gridCol w:w="855"/>
        <w:gridCol w:w="800"/>
        <w:gridCol w:w="1520"/>
        <w:gridCol w:w="1594"/>
      </w:tblGrid>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017" w:type="dxa"/>
            <w:shd w:val="clear" w:color="auto" w:fill="auto"/>
            <w:noWrap/>
            <w:vAlign w:val="center"/>
          </w:tcPr>
          <w:p>
            <w:pPr>
              <w:spacing w:line="560" w:lineRule="exact"/>
              <w:ind w:firstLine="0" w:firstLineChars="0"/>
              <w:jc w:val="center"/>
              <w:rPr>
                <w:rFonts w:ascii="仿宋" w:hAnsi="仿宋" w:eastAsia="仿宋" w:cs="仿宋"/>
                <w:b/>
                <w:bCs/>
                <w:color w:val="000000"/>
                <w:kern w:val="0"/>
                <w:szCs w:val="24"/>
              </w:rPr>
            </w:pPr>
            <w:r>
              <w:rPr>
                <w:rFonts w:hint="eastAsia" w:ascii="仿宋" w:hAnsi="仿宋" w:eastAsia="仿宋" w:cs="仿宋"/>
                <w:b/>
                <w:bCs/>
                <w:color w:val="000000"/>
                <w:kern w:val="0"/>
                <w:szCs w:val="24"/>
              </w:rPr>
              <w:t>序号</w:t>
            </w:r>
          </w:p>
        </w:tc>
        <w:tc>
          <w:tcPr>
            <w:tcW w:w="2669" w:type="dxa"/>
            <w:gridSpan w:val="2"/>
            <w:shd w:val="clear" w:color="auto" w:fill="auto"/>
            <w:noWrap/>
            <w:vAlign w:val="center"/>
          </w:tcPr>
          <w:p>
            <w:pPr>
              <w:spacing w:line="560" w:lineRule="exact"/>
              <w:ind w:firstLine="0" w:firstLineChars="0"/>
              <w:jc w:val="center"/>
              <w:rPr>
                <w:rFonts w:ascii="仿宋" w:hAnsi="仿宋" w:eastAsia="仿宋" w:cs="仿宋"/>
                <w:b/>
                <w:bCs/>
                <w:color w:val="000000"/>
                <w:kern w:val="0"/>
                <w:szCs w:val="24"/>
              </w:rPr>
            </w:pPr>
            <w:r>
              <w:rPr>
                <w:rFonts w:hint="eastAsia" w:ascii="仿宋" w:hAnsi="仿宋" w:eastAsia="仿宋" w:cs="仿宋"/>
                <w:b/>
                <w:bCs/>
                <w:color w:val="000000"/>
                <w:kern w:val="0"/>
                <w:szCs w:val="24"/>
              </w:rPr>
              <w:t>项目名称</w:t>
            </w:r>
          </w:p>
        </w:tc>
        <w:tc>
          <w:tcPr>
            <w:tcW w:w="1279" w:type="dxa"/>
            <w:shd w:val="clear" w:color="auto" w:fill="auto"/>
            <w:noWrap/>
            <w:vAlign w:val="center"/>
          </w:tcPr>
          <w:p>
            <w:pPr>
              <w:spacing w:line="560" w:lineRule="exact"/>
              <w:ind w:firstLine="0" w:firstLineChars="0"/>
              <w:jc w:val="center"/>
              <w:rPr>
                <w:rFonts w:ascii="仿宋" w:hAnsi="仿宋" w:eastAsia="仿宋" w:cs="仿宋"/>
                <w:b/>
                <w:bCs/>
                <w:color w:val="000000"/>
                <w:kern w:val="0"/>
                <w:szCs w:val="24"/>
              </w:rPr>
            </w:pPr>
            <w:r>
              <w:rPr>
                <w:rFonts w:hint="eastAsia" w:ascii="仿宋" w:hAnsi="仿宋" w:eastAsia="仿宋" w:cs="仿宋"/>
                <w:b/>
                <w:bCs/>
                <w:color w:val="000000"/>
                <w:kern w:val="0"/>
                <w:szCs w:val="24"/>
              </w:rPr>
              <w:t>规格参数</w:t>
            </w:r>
          </w:p>
        </w:tc>
        <w:tc>
          <w:tcPr>
            <w:tcW w:w="855" w:type="dxa"/>
            <w:shd w:val="clear" w:color="auto" w:fill="auto"/>
            <w:noWrap/>
            <w:vAlign w:val="center"/>
          </w:tcPr>
          <w:p>
            <w:pPr>
              <w:spacing w:line="560" w:lineRule="exact"/>
              <w:ind w:firstLine="0" w:firstLineChars="0"/>
              <w:jc w:val="center"/>
              <w:rPr>
                <w:rFonts w:ascii="仿宋" w:hAnsi="仿宋" w:eastAsia="仿宋" w:cs="仿宋"/>
                <w:b/>
                <w:bCs/>
                <w:color w:val="000000"/>
                <w:kern w:val="0"/>
                <w:szCs w:val="24"/>
              </w:rPr>
            </w:pPr>
            <w:r>
              <w:rPr>
                <w:rFonts w:hint="eastAsia" w:ascii="仿宋" w:hAnsi="仿宋" w:eastAsia="仿宋" w:cs="仿宋"/>
                <w:b/>
                <w:bCs/>
                <w:color w:val="000000"/>
                <w:kern w:val="0"/>
                <w:szCs w:val="24"/>
              </w:rPr>
              <w:t>数量</w:t>
            </w:r>
          </w:p>
        </w:tc>
        <w:tc>
          <w:tcPr>
            <w:tcW w:w="800" w:type="dxa"/>
            <w:shd w:val="clear" w:color="auto" w:fill="auto"/>
            <w:noWrap/>
            <w:vAlign w:val="center"/>
          </w:tcPr>
          <w:p>
            <w:pPr>
              <w:spacing w:line="560" w:lineRule="exact"/>
              <w:ind w:firstLine="0" w:firstLineChars="0"/>
              <w:jc w:val="center"/>
              <w:rPr>
                <w:rFonts w:ascii="仿宋" w:hAnsi="仿宋" w:eastAsia="仿宋" w:cs="仿宋"/>
                <w:b/>
                <w:bCs/>
                <w:color w:val="000000"/>
                <w:kern w:val="0"/>
                <w:szCs w:val="24"/>
              </w:rPr>
            </w:pPr>
            <w:r>
              <w:rPr>
                <w:rFonts w:hint="eastAsia" w:ascii="仿宋" w:hAnsi="仿宋" w:eastAsia="仿宋" w:cs="仿宋"/>
                <w:b/>
                <w:bCs/>
                <w:color w:val="000000"/>
                <w:kern w:val="0"/>
                <w:szCs w:val="24"/>
              </w:rPr>
              <w:t>单位</w:t>
            </w:r>
          </w:p>
        </w:tc>
        <w:tc>
          <w:tcPr>
            <w:tcW w:w="1520" w:type="dxa"/>
            <w:shd w:val="clear" w:color="auto" w:fill="auto"/>
            <w:noWrap/>
            <w:vAlign w:val="center"/>
          </w:tcPr>
          <w:p>
            <w:pPr>
              <w:spacing w:line="560" w:lineRule="exact"/>
              <w:ind w:firstLine="0" w:firstLineChars="0"/>
              <w:jc w:val="center"/>
              <w:rPr>
                <w:rFonts w:ascii="仿宋" w:hAnsi="仿宋" w:eastAsia="仿宋" w:cs="仿宋"/>
                <w:b/>
                <w:bCs/>
                <w:color w:val="000000"/>
                <w:kern w:val="0"/>
                <w:szCs w:val="24"/>
              </w:rPr>
            </w:pPr>
            <w:r>
              <w:rPr>
                <w:rFonts w:hint="eastAsia" w:ascii="仿宋" w:hAnsi="仿宋" w:eastAsia="仿宋" w:cs="仿宋"/>
                <w:b/>
                <w:bCs/>
                <w:color w:val="000000"/>
                <w:kern w:val="0"/>
                <w:szCs w:val="24"/>
              </w:rPr>
              <w:t>单价（含税）</w:t>
            </w:r>
          </w:p>
        </w:tc>
        <w:tc>
          <w:tcPr>
            <w:tcW w:w="1594" w:type="dxa"/>
            <w:shd w:val="clear" w:color="auto" w:fill="auto"/>
            <w:noWrap/>
            <w:vAlign w:val="center"/>
          </w:tcPr>
          <w:p>
            <w:pPr>
              <w:spacing w:line="560" w:lineRule="exact"/>
              <w:ind w:firstLine="0" w:firstLineChars="0"/>
              <w:jc w:val="center"/>
              <w:rPr>
                <w:rFonts w:ascii="仿宋" w:hAnsi="仿宋" w:eastAsia="仿宋" w:cs="仿宋"/>
                <w:b/>
                <w:bCs/>
                <w:color w:val="000000"/>
                <w:kern w:val="0"/>
                <w:szCs w:val="24"/>
              </w:rPr>
            </w:pPr>
            <w:r>
              <w:rPr>
                <w:rFonts w:hint="eastAsia" w:ascii="仿宋" w:hAnsi="仿宋" w:eastAsia="仿宋" w:cs="仿宋"/>
                <w:b/>
                <w:bCs/>
                <w:color w:val="000000"/>
                <w:kern w:val="0"/>
                <w:szCs w:val="24"/>
              </w:rPr>
              <w:t>小计（含税）</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9734" w:type="dxa"/>
            <w:gridSpan w:val="8"/>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平台及模块费用</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1</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2</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3</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4</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5</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8140" w:type="dxa"/>
            <w:gridSpan w:val="7"/>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费用小计</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9734" w:type="dxa"/>
            <w:gridSpan w:val="8"/>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用户数费用</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1</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电脑用户数</w:t>
            </w: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2</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手机用户数</w:t>
            </w: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8140" w:type="dxa"/>
            <w:gridSpan w:val="7"/>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费用小计</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9734" w:type="dxa"/>
            <w:gridSpan w:val="8"/>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实施服务费</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1</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实施搭建费用</w:t>
            </w: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0" w:firstLineChars="0"/>
              <w:rPr>
                <w:rFonts w:ascii="仿宋" w:hAnsi="仿宋" w:eastAsia="仿宋" w:cs="仿宋"/>
                <w:color w:val="000000"/>
                <w:kern w:val="0"/>
                <w:szCs w:val="24"/>
              </w:rPr>
            </w:pPr>
            <w:r>
              <w:rPr>
                <w:rFonts w:hint="eastAsia" w:ascii="仿宋" w:hAnsi="仿宋" w:eastAsia="仿宋" w:cs="仿宋"/>
                <w:color w:val="000000"/>
                <w:kern w:val="0"/>
                <w:szCs w:val="24"/>
              </w:rPr>
              <w:t>人/天　</w:t>
            </w: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2</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培训费用</w:t>
            </w: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0" w:firstLineChars="0"/>
              <w:rPr>
                <w:rFonts w:ascii="仿宋" w:hAnsi="仿宋" w:eastAsia="仿宋" w:cs="仿宋"/>
                <w:color w:val="000000"/>
                <w:kern w:val="0"/>
                <w:szCs w:val="24"/>
              </w:rPr>
            </w:pPr>
            <w:r>
              <w:rPr>
                <w:rFonts w:hint="eastAsia" w:ascii="仿宋" w:hAnsi="仿宋" w:eastAsia="仿宋" w:cs="仿宋"/>
                <w:color w:val="000000"/>
                <w:kern w:val="0"/>
                <w:szCs w:val="24"/>
              </w:rPr>
              <w:t>人/天　</w:t>
            </w: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8140" w:type="dxa"/>
            <w:gridSpan w:val="7"/>
            <w:shd w:val="clear" w:color="auto" w:fill="auto"/>
            <w:noWrap/>
            <w:vAlign w:val="center"/>
          </w:tcPr>
          <w:p>
            <w:pPr>
              <w:spacing w:line="560" w:lineRule="exact"/>
              <w:ind w:firstLine="482"/>
              <w:rPr>
                <w:rFonts w:ascii="仿宋" w:hAnsi="仿宋" w:eastAsia="仿宋" w:cs="仿宋"/>
                <w:b/>
                <w:color w:val="000000"/>
                <w:kern w:val="0"/>
                <w:szCs w:val="24"/>
              </w:rPr>
            </w:pPr>
            <w:r>
              <w:rPr>
                <w:rFonts w:hint="eastAsia" w:ascii="仿宋" w:hAnsi="仿宋" w:eastAsia="仿宋" w:cs="仿宋"/>
                <w:b/>
                <w:bCs/>
                <w:color w:val="000000"/>
                <w:kern w:val="0"/>
                <w:szCs w:val="24"/>
              </w:rPr>
              <w:t>费用小计</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8140" w:type="dxa"/>
            <w:gridSpan w:val="7"/>
            <w:shd w:val="clear" w:color="auto" w:fill="auto"/>
            <w:noWrap/>
            <w:vAlign w:val="center"/>
          </w:tcPr>
          <w:p>
            <w:pPr>
              <w:spacing w:line="560" w:lineRule="exact"/>
              <w:ind w:firstLine="482"/>
              <w:rPr>
                <w:rFonts w:ascii="仿宋" w:hAnsi="仿宋" w:eastAsia="仿宋" w:cs="仿宋"/>
                <w:color w:val="000000"/>
                <w:kern w:val="0"/>
                <w:szCs w:val="24"/>
              </w:rPr>
            </w:pPr>
            <w:r>
              <w:rPr>
                <w:rFonts w:hint="eastAsia" w:ascii="仿宋" w:hAnsi="仿宋" w:eastAsia="仿宋" w:cs="仿宋"/>
                <w:b/>
                <w:bCs/>
                <w:color w:val="000000"/>
                <w:kern w:val="0"/>
                <w:szCs w:val="24"/>
              </w:rPr>
              <w:t>费用小计</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734" w:type="dxa"/>
            <w:gridSpan w:val="8"/>
            <w:shd w:val="clear" w:color="auto" w:fill="auto"/>
            <w:noWrap/>
            <w:vAlign w:val="center"/>
          </w:tcPr>
          <w:p>
            <w:pPr>
              <w:spacing w:line="560" w:lineRule="exact"/>
              <w:ind w:firstLine="482"/>
              <w:rPr>
                <w:rFonts w:ascii="仿宋" w:hAnsi="仿宋" w:eastAsia="仿宋" w:cs="仿宋"/>
                <w:color w:val="000000"/>
                <w:kern w:val="0"/>
                <w:szCs w:val="24"/>
              </w:rPr>
            </w:pPr>
            <w:r>
              <w:rPr>
                <w:rFonts w:hint="eastAsia" w:ascii="仿宋" w:hAnsi="仿宋" w:eastAsia="仿宋" w:cs="仿宋"/>
                <w:b/>
                <w:bCs/>
                <w:color w:val="000000"/>
                <w:kern w:val="0"/>
                <w:szCs w:val="24"/>
              </w:rPr>
              <w:t>第三方产品费用（根据各投标方自身情况填写，无则空）</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1</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2</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8140" w:type="dxa"/>
            <w:gridSpan w:val="7"/>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费用小计</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jc w:val="center"/>
        </w:trPr>
        <w:tc>
          <w:tcPr>
            <w:tcW w:w="9734" w:type="dxa"/>
            <w:gridSpan w:val="8"/>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所需其他费用（根据各投标方自身情况填写，无则空）</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1</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2</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017"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3</w:t>
            </w:r>
          </w:p>
        </w:tc>
        <w:tc>
          <w:tcPr>
            <w:tcW w:w="2669" w:type="dxa"/>
            <w:gridSpan w:val="2"/>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279"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855"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800"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520"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8140" w:type="dxa"/>
            <w:gridSpan w:val="7"/>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费用小计</w:t>
            </w:r>
          </w:p>
        </w:tc>
        <w:tc>
          <w:tcPr>
            <w:tcW w:w="1594" w:type="dxa"/>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　</w:t>
            </w:r>
          </w:p>
        </w:tc>
      </w:tr>
      <w:tr>
        <w:tblPrEx>
          <w:tblBorders>
            <w:top w:val="single" w:color="auto" w:sz="8" w:space="0"/>
            <w:left w:val="single" w:color="auto" w:sz="8"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2350" w:type="dxa"/>
            <w:gridSpan w:val="2"/>
            <w:shd w:val="clear" w:color="auto" w:fill="auto"/>
            <w:noWrap/>
            <w:vAlign w:val="center"/>
          </w:tcPr>
          <w:p>
            <w:pPr>
              <w:spacing w:line="560" w:lineRule="exact"/>
              <w:ind w:firstLine="482"/>
              <w:rPr>
                <w:rFonts w:ascii="仿宋" w:hAnsi="仿宋" w:eastAsia="仿宋" w:cs="仿宋"/>
                <w:b/>
                <w:bCs/>
                <w:color w:val="000000"/>
                <w:kern w:val="0"/>
                <w:szCs w:val="24"/>
              </w:rPr>
            </w:pPr>
            <w:r>
              <w:rPr>
                <w:rFonts w:hint="eastAsia" w:ascii="仿宋" w:hAnsi="仿宋" w:eastAsia="仿宋" w:cs="仿宋"/>
                <w:b/>
                <w:bCs/>
                <w:color w:val="000000"/>
                <w:kern w:val="0"/>
                <w:szCs w:val="24"/>
              </w:rPr>
              <w:t>明细总计</w:t>
            </w:r>
          </w:p>
        </w:tc>
        <w:tc>
          <w:tcPr>
            <w:tcW w:w="7384" w:type="dxa"/>
            <w:gridSpan w:val="6"/>
            <w:shd w:val="clear" w:color="auto" w:fill="auto"/>
            <w:noWrap/>
            <w:vAlign w:val="center"/>
          </w:tcPr>
          <w:p>
            <w:pPr>
              <w:spacing w:line="560" w:lineRule="exact"/>
              <w:ind w:firstLine="480"/>
              <w:rPr>
                <w:rFonts w:ascii="仿宋" w:hAnsi="仿宋" w:eastAsia="仿宋" w:cs="仿宋"/>
                <w:color w:val="000000"/>
                <w:kern w:val="0"/>
                <w:szCs w:val="24"/>
              </w:rPr>
            </w:pPr>
            <w:r>
              <w:rPr>
                <w:rFonts w:hint="eastAsia" w:ascii="仿宋" w:hAnsi="仿宋" w:eastAsia="仿宋" w:cs="仿宋"/>
                <w:color w:val="000000"/>
                <w:kern w:val="0"/>
                <w:szCs w:val="24"/>
              </w:rPr>
              <w:t>XXXX(大写：XXXX元)</w:t>
            </w:r>
          </w:p>
        </w:tc>
      </w:tr>
    </w:tbl>
    <w:p>
      <w:pPr>
        <w:spacing w:line="560" w:lineRule="exact"/>
        <w:ind w:firstLine="0" w:firstLineChars="0"/>
        <w:rPr>
          <w:rFonts w:hint="eastAsia" w:ascii="仿宋" w:hAnsi="仿宋" w:eastAsia="仿宋" w:cs="仿宋"/>
          <w:color w:val="000000"/>
          <w:szCs w:val="24"/>
        </w:rPr>
      </w:pPr>
    </w:p>
    <w:p>
      <w:pPr>
        <w:spacing w:line="560" w:lineRule="exact"/>
        <w:ind w:firstLine="480"/>
        <w:jc w:val="right"/>
        <w:rPr>
          <w:rFonts w:ascii="仿宋" w:hAnsi="仿宋" w:eastAsia="仿宋" w:cs="仿宋"/>
          <w:color w:val="000000"/>
          <w:szCs w:val="24"/>
        </w:rPr>
      </w:pPr>
      <w:r>
        <w:rPr>
          <w:rFonts w:hint="eastAsia" w:ascii="仿宋" w:hAnsi="仿宋" w:eastAsia="仿宋" w:cs="仿宋"/>
          <w:color w:val="000000"/>
          <w:szCs w:val="24"/>
        </w:rPr>
        <w:t>投标人名称：</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（盖单位章）</w:t>
      </w:r>
    </w:p>
    <w:p>
      <w:pPr>
        <w:spacing w:line="560" w:lineRule="exact"/>
        <w:ind w:left="3392" w:firstLine="600" w:firstLineChars="250"/>
        <w:jc w:val="right"/>
        <w:rPr>
          <w:rFonts w:ascii="仿宋" w:hAnsi="仿宋" w:eastAsia="仿宋" w:cs="仿宋"/>
          <w:color w:val="000000"/>
          <w:szCs w:val="24"/>
        </w:rPr>
      </w:pPr>
      <w:r>
        <w:rPr>
          <w:rFonts w:hint="eastAsia" w:ascii="仿宋" w:hAnsi="仿宋" w:eastAsia="仿宋" w:cs="仿宋"/>
          <w:color w:val="000000"/>
          <w:szCs w:val="24"/>
        </w:rPr>
        <w:t>法定代表人或其委托代理人：</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（签字）</w:t>
      </w:r>
    </w:p>
    <w:p>
      <w:pPr>
        <w:widowControl/>
        <w:spacing w:line="560" w:lineRule="exact"/>
        <w:ind w:firstLine="480"/>
        <w:jc w:val="right"/>
        <w:rPr>
          <w:rFonts w:ascii="仿宋" w:hAnsi="仿宋" w:eastAsia="仿宋" w:cs="仿宋"/>
          <w:color w:val="000000"/>
          <w:szCs w:val="24"/>
        </w:rPr>
      </w:pP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年</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月</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日</w:t>
      </w:r>
      <w:bookmarkEnd w:id="132"/>
      <w:bookmarkStart w:id="133" w:name="_Toc365368988"/>
      <w:bookmarkStart w:id="134" w:name="_Toc365318735"/>
      <w:bookmarkStart w:id="135" w:name="_Toc359587712"/>
      <w:bookmarkStart w:id="136" w:name="_Toc267921555"/>
    </w:p>
    <w:p>
      <w:pPr>
        <w:pStyle w:val="76"/>
        <w:spacing w:line="560" w:lineRule="exact"/>
        <w:ind w:left="0" w:firstLine="0"/>
        <w:rPr>
          <w:rStyle w:val="74"/>
          <w:rFonts w:ascii="仿宋" w:hAnsi="仿宋" w:eastAsia="仿宋" w:cs="仿宋"/>
          <w:b/>
          <w:bCs/>
          <w:color w:val="000000"/>
          <w:sz w:val="32"/>
          <w:szCs w:val="32"/>
        </w:rPr>
      </w:pPr>
      <w:r>
        <w:rPr>
          <w:rFonts w:hint="eastAsia" w:ascii="仿宋" w:hAnsi="仿宋" w:eastAsia="仿宋" w:cs="仿宋"/>
          <w:sz w:val="24"/>
          <w:szCs w:val="24"/>
        </w:rPr>
        <w:br w:type="page"/>
      </w:r>
      <w:bookmarkStart w:id="137" w:name="_Toc335848591"/>
      <w:bookmarkStart w:id="138" w:name="_Toc25004"/>
      <w:r>
        <w:rPr>
          <w:rFonts w:hint="eastAsia"/>
        </w:rPr>
        <w:t>格式三：法定代表人资格证明书</w:t>
      </w:r>
      <w:bookmarkEnd w:id="133"/>
      <w:bookmarkEnd w:id="134"/>
      <w:bookmarkEnd w:id="137"/>
      <w:bookmarkEnd w:id="138"/>
    </w:p>
    <w:p>
      <w:pPr>
        <w:spacing w:line="50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法定代表人资格证明书</w:t>
      </w:r>
    </w:p>
    <w:p>
      <w:pPr>
        <w:spacing w:line="560" w:lineRule="exact"/>
        <w:ind w:firstLine="480"/>
        <w:jc w:val="left"/>
        <w:rPr>
          <w:rFonts w:ascii="仿宋" w:hAnsi="仿宋" w:eastAsia="仿宋" w:cs="仿宋"/>
          <w:snapToGrid w:val="0"/>
          <w:color w:val="000000"/>
          <w:kern w:val="0"/>
          <w:szCs w:val="24"/>
        </w:rPr>
      </w:pPr>
    </w:p>
    <w:p>
      <w:pPr>
        <w:spacing w:line="560" w:lineRule="exact"/>
        <w:ind w:firstLine="480"/>
        <w:jc w:val="left"/>
        <w:rPr>
          <w:rFonts w:ascii="仿宋" w:hAnsi="仿宋" w:eastAsia="仿宋" w:cs="仿宋"/>
          <w:snapToGrid w:val="0"/>
          <w:color w:val="000000"/>
          <w:kern w:val="0"/>
          <w:szCs w:val="24"/>
          <w:u w:val="single"/>
        </w:rPr>
      </w:pPr>
      <w:r>
        <w:rPr>
          <w:rFonts w:hint="eastAsia" w:ascii="仿宋" w:hAnsi="仿宋" w:eastAsia="仿宋" w:cs="仿宋"/>
          <w:snapToGrid w:val="0"/>
          <w:color w:val="000000"/>
          <w:kern w:val="0"/>
          <w:szCs w:val="24"/>
        </w:rPr>
        <w:t>单位名称：</w:t>
      </w:r>
      <w:r>
        <w:rPr>
          <w:rFonts w:hint="eastAsia" w:ascii="仿宋" w:hAnsi="仿宋" w:eastAsia="仿宋" w:cs="仿宋"/>
          <w:snapToGrid w:val="0"/>
          <w:color w:val="000000"/>
          <w:kern w:val="0"/>
          <w:szCs w:val="24"/>
          <w:u w:val="single"/>
        </w:rPr>
        <w:t xml:space="preserve">                                      </w:t>
      </w:r>
    </w:p>
    <w:p>
      <w:pPr>
        <w:spacing w:line="560" w:lineRule="exact"/>
        <w:ind w:firstLine="480"/>
        <w:jc w:val="left"/>
        <w:rPr>
          <w:rFonts w:ascii="仿宋" w:hAnsi="仿宋" w:eastAsia="仿宋" w:cs="仿宋"/>
          <w:snapToGrid w:val="0"/>
          <w:color w:val="000000"/>
          <w:kern w:val="0"/>
          <w:szCs w:val="24"/>
          <w:u w:val="single"/>
        </w:rPr>
      </w:pPr>
      <w:r>
        <w:rPr>
          <w:rFonts w:hint="eastAsia" w:ascii="仿宋" w:hAnsi="仿宋" w:eastAsia="仿宋" w:cs="仿宋"/>
          <w:snapToGrid w:val="0"/>
          <w:color w:val="000000"/>
          <w:kern w:val="0"/>
          <w:szCs w:val="24"/>
        </w:rPr>
        <w:t>地    址：</w:t>
      </w:r>
      <w:r>
        <w:rPr>
          <w:rFonts w:hint="eastAsia" w:ascii="仿宋" w:hAnsi="仿宋" w:eastAsia="仿宋" w:cs="仿宋"/>
          <w:snapToGrid w:val="0"/>
          <w:color w:val="000000"/>
          <w:kern w:val="0"/>
          <w:szCs w:val="24"/>
          <w:u w:val="single"/>
        </w:rPr>
        <w:t xml:space="preserve">                                      </w:t>
      </w: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姓    名：</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性别：</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年龄：</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职务：</w:t>
      </w:r>
      <w:r>
        <w:rPr>
          <w:rFonts w:hint="eastAsia" w:ascii="仿宋" w:hAnsi="仿宋" w:eastAsia="仿宋" w:cs="仿宋"/>
          <w:snapToGrid w:val="0"/>
          <w:color w:val="000000"/>
          <w:kern w:val="0"/>
          <w:szCs w:val="24"/>
          <w:u w:val="single"/>
        </w:rPr>
        <w:t xml:space="preserve">                       </w:t>
      </w: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系</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的法定代表人（身份证或护照编号：</w:t>
      </w:r>
      <w:r>
        <w:rPr>
          <w:rFonts w:hint="eastAsia" w:ascii="仿宋" w:hAnsi="仿宋" w:eastAsia="仿宋" w:cs="仿宋"/>
          <w:snapToGrid w:val="0"/>
          <w:color w:val="000000"/>
          <w:kern w:val="0"/>
          <w:szCs w:val="24"/>
          <w:u w:val="single"/>
        </w:rPr>
        <w:t>×××××××××××××××</w:t>
      </w:r>
      <w:r>
        <w:rPr>
          <w:rFonts w:hint="eastAsia" w:ascii="仿宋" w:hAnsi="仿宋" w:eastAsia="仿宋" w:cs="仿宋"/>
          <w:snapToGrid w:val="0"/>
          <w:color w:val="000000"/>
          <w:kern w:val="0"/>
          <w:szCs w:val="24"/>
        </w:rPr>
        <w:t>）。</w:t>
      </w:r>
    </w:p>
    <w:p>
      <w:pPr>
        <w:spacing w:line="560" w:lineRule="exact"/>
        <w:ind w:firstLine="480"/>
        <w:jc w:val="left"/>
        <w:rPr>
          <w:rFonts w:ascii="仿宋" w:hAnsi="仿宋" w:eastAsia="仿宋" w:cs="仿宋"/>
          <w:snapToGrid w:val="0"/>
          <w:color w:val="000000"/>
          <w:kern w:val="0"/>
          <w:szCs w:val="24"/>
        </w:rPr>
      </w:pP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特此证明。</w:t>
      </w:r>
    </w:p>
    <w:p>
      <w:pPr>
        <w:spacing w:line="560" w:lineRule="exact"/>
        <w:ind w:firstLine="480"/>
        <w:jc w:val="left"/>
        <w:rPr>
          <w:rFonts w:ascii="仿宋" w:hAnsi="仿宋" w:eastAsia="仿宋" w:cs="仿宋"/>
          <w:snapToGrid w:val="0"/>
          <w:color w:val="000000"/>
          <w:kern w:val="0"/>
          <w:szCs w:val="24"/>
        </w:rPr>
      </w:pPr>
    </w:p>
    <w:p>
      <w:pPr>
        <w:spacing w:line="560" w:lineRule="exact"/>
        <w:ind w:firstLine="480"/>
        <w:jc w:val="right"/>
        <w:rPr>
          <w:rFonts w:ascii="仿宋" w:hAnsi="仿宋" w:eastAsia="仿宋" w:cs="仿宋"/>
          <w:snapToGrid w:val="0"/>
          <w:color w:val="000000"/>
          <w:kern w:val="0"/>
          <w:szCs w:val="24"/>
          <w:u w:val="single"/>
        </w:rPr>
      </w:pPr>
      <w:r>
        <w:rPr>
          <w:rFonts w:hint="eastAsia" w:ascii="仿宋" w:hAnsi="仿宋" w:eastAsia="仿宋" w:cs="仿宋"/>
          <w:snapToGrid w:val="0"/>
          <w:color w:val="000000"/>
          <w:kern w:val="0"/>
          <w:szCs w:val="24"/>
        </w:rPr>
        <w:t>投标人：</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（盖公章）</w:t>
      </w:r>
    </w:p>
    <w:p>
      <w:pPr>
        <w:wordWrap w:val="0"/>
        <w:spacing w:line="560" w:lineRule="exact"/>
        <w:ind w:left="510" w:firstLine="480"/>
        <w:jc w:val="right"/>
        <w:rPr>
          <w:rFonts w:ascii="仿宋" w:hAnsi="仿宋" w:eastAsia="仿宋" w:cs="仿宋"/>
          <w:b/>
          <w:snapToGrid w:val="0"/>
          <w:color w:val="000000"/>
          <w:kern w:val="0"/>
          <w:szCs w:val="24"/>
        </w:rPr>
      </w:pPr>
      <w:r>
        <w:rPr>
          <w:rFonts w:hint="eastAsia" w:ascii="仿宋" w:hAnsi="仿宋" w:eastAsia="仿宋" w:cs="仿宋"/>
          <w:snapToGrid w:val="0"/>
          <w:color w:val="000000"/>
          <w:kern w:val="0"/>
          <w:szCs w:val="24"/>
        </w:rPr>
        <w:t>日  期：</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年</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月</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日</w:t>
      </w:r>
      <w:bookmarkStart w:id="139" w:name="_Toc359587704"/>
      <w:bookmarkStart w:id="140" w:name="_Toc361661620"/>
      <w:bookmarkStart w:id="141" w:name="_Toc267921550"/>
    </w:p>
    <w:p>
      <w:pPr>
        <w:widowControl/>
        <w:spacing w:line="560" w:lineRule="exact"/>
        <w:ind w:firstLine="482"/>
        <w:jc w:val="left"/>
        <w:rPr>
          <w:rFonts w:ascii="仿宋" w:hAnsi="仿宋" w:eastAsia="仿宋" w:cs="仿宋"/>
          <w:b/>
          <w:bCs/>
          <w:color w:val="000000"/>
          <w:szCs w:val="24"/>
        </w:rPr>
      </w:pPr>
    </w:p>
    <w:p>
      <w:pPr>
        <w:widowControl/>
        <w:spacing w:line="560" w:lineRule="exact"/>
        <w:ind w:firstLine="643"/>
        <w:jc w:val="left"/>
        <w:rPr>
          <w:rFonts w:ascii="仿宋_GB2312" w:hAnsi="仿宋_GB2312" w:eastAsia="仿宋_GB2312" w:cs="仿宋_GB2312"/>
          <w:b/>
          <w:bCs/>
          <w:color w:val="000000"/>
          <w:sz w:val="32"/>
          <w:szCs w:val="32"/>
        </w:rPr>
      </w:pPr>
    </w:p>
    <w:p>
      <w:pPr>
        <w:pStyle w:val="76"/>
        <w:spacing w:line="560" w:lineRule="exact"/>
        <w:ind w:left="0" w:firstLine="0"/>
        <w:rPr>
          <w:rFonts w:ascii="仿宋" w:hAnsi="仿宋" w:eastAsia="仿宋"/>
          <w:sz w:val="32"/>
          <w:szCs w:val="32"/>
        </w:rPr>
      </w:pPr>
      <w:bookmarkStart w:id="142" w:name="_Toc365318736"/>
      <w:bookmarkStart w:id="143" w:name="_Toc365368989"/>
      <w:r>
        <w:rPr>
          <w:rFonts w:hint="eastAsia" w:ascii="仿宋_GB2312" w:hAnsi="仿宋_GB2312" w:eastAsia="仿宋_GB2312" w:cs="仿宋_GB2312"/>
          <w:sz w:val="32"/>
          <w:szCs w:val="32"/>
        </w:rPr>
        <w:br w:type="page"/>
      </w:r>
      <w:bookmarkStart w:id="144" w:name="_Toc335848592"/>
      <w:bookmarkStart w:id="145" w:name="_Toc6944"/>
      <w:r>
        <w:t>格式四：法定代表人授权委托书</w:t>
      </w:r>
      <w:bookmarkEnd w:id="139"/>
      <w:bookmarkEnd w:id="140"/>
      <w:bookmarkEnd w:id="142"/>
      <w:bookmarkEnd w:id="143"/>
      <w:bookmarkEnd w:id="144"/>
      <w:bookmarkEnd w:id="145"/>
    </w:p>
    <w:p>
      <w:pPr>
        <w:spacing w:line="500" w:lineRule="exact"/>
        <w:ind w:firstLine="0" w:firstLineChars="0"/>
        <w:jc w:val="center"/>
        <w:rPr>
          <w:rFonts w:ascii="仿宋" w:hAnsi="仿宋" w:eastAsia="仿宋" w:cs="仿宋"/>
          <w:color w:val="000000"/>
          <w:szCs w:val="24"/>
        </w:rPr>
      </w:pPr>
      <w:bookmarkStart w:id="146" w:name="_Toc359588422"/>
      <w:bookmarkStart w:id="147" w:name="_Toc359587705"/>
      <w:r>
        <w:rPr>
          <w:rFonts w:hint="eastAsia" w:ascii="仿宋" w:hAnsi="仿宋" w:eastAsia="仿宋" w:cs="仿宋"/>
          <w:color w:val="000000"/>
          <w:szCs w:val="24"/>
        </w:rPr>
        <w:t>法定代表人授权委托</w:t>
      </w:r>
      <w:bookmarkEnd w:id="141"/>
      <w:r>
        <w:rPr>
          <w:rFonts w:hint="eastAsia" w:ascii="仿宋" w:hAnsi="仿宋" w:eastAsia="仿宋" w:cs="仿宋"/>
          <w:color w:val="000000"/>
          <w:szCs w:val="24"/>
        </w:rPr>
        <w:t>书</w:t>
      </w:r>
      <w:bookmarkEnd w:id="146"/>
      <w:bookmarkEnd w:id="147"/>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w:t>
      </w: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我以</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法定代表人身份授权</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为代表，其参加贵司组织的</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的投标，签署投标文件及其他书面文件，负责参加开标、询标、商务洽谈、签署合同及招标活动中的一切事宜，我司均不可撤销地予以承认。</w:t>
      </w: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法定代表人签字：</w:t>
      </w: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投标单位全称（公章）：</w:t>
      </w: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日期：</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年</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月</w:t>
      </w:r>
      <w:r>
        <w:rPr>
          <w:rFonts w:hint="eastAsia" w:ascii="仿宋" w:hAnsi="仿宋" w:eastAsia="仿宋" w:cs="仿宋"/>
          <w:snapToGrid w:val="0"/>
          <w:color w:val="000000"/>
          <w:kern w:val="0"/>
          <w:szCs w:val="24"/>
          <w:u w:val="single"/>
        </w:rPr>
        <w:t xml:space="preserve">         </w:t>
      </w:r>
      <w:r>
        <w:rPr>
          <w:rFonts w:hint="eastAsia" w:ascii="仿宋" w:hAnsi="仿宋" w:eastAsia="仿宋" w:cs="仿宋"/>
          <w:snapToGrid w:val="0"/>
          <w:color w:val="000000"/>
          <w:kern w:val="0"/>
          <w:szCs w:val="24"/>
        </w:rPr>
        <w:t>日</w:t>
      </w:r>
    </w:p>
    <w:p>
      <w:pPr>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 xml:space="preserve">附：代表姓名： </w:t>
      </w:r>
    </w:p>
    <w:p>
      <w:pPr>
        <w:adjustRightInd w:val="0"/>
        <w:snapToGrid w:val="0"/>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身份证号：</w:t>
      </w:r>
    </w:p>
    <w:p>
      <w:pPr>
        <w:adjustRightInd w:val="0"/>
        <w:snapToGrid w:val="0"/>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 xml:space="preserve">职    务： </w:t>
      </w:r>
    </w:p>
    <w:p>
      <w:pPr>
        <w:adjustRightInd w:val="0"/>
        <w:snapToGrid w:val="0"/>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 xml:space="preserve">详细通讯地址： </w:t>
      </w:r>
    </w:p>
    <w:p>
      <w:pPr>
        <w:adjustRightInd w:val="0"/>
        <w:snapToGrid w:val="0"/>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传    真：</w:t>
      </w:r>
    </w:p>
    <w:p>
      <w:pPr>
        <w:adjustRightInd w:val="0"/>
        <w:snapToGrid w:val="0"/>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电    话：</w:t>
      </w:r>
    </w:p>
    <w:p>
      <w:pPr>
        <w:adjustRightInd w:val="0"/>
        <w:snapToGrid w:val="0"/>
        <w:spacing w:line="560" w:lineRule="exact"/>
        <w:ind w:firstLine="480"/>
        <w:jc w:val="left"/>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邮政编码：</w:t>
      </w:r>
    </w:p>
    <w:p>
      <w:pPr>
        <w:adjustRightInd w:val="0"/>
        <w:snapToGrid w:val="0"/>
        <w:spacing w:line="560" w:lineRule="exact"/>
        <w:ind w:firstLine="480"/>
        <w:jc w:val="left"/>
        <w:rPr>
          <w:rFonts w:ascii="仿宋" w:hAnsi="仿宋" w:eastAsia="仿宋" w:cs="仿宋"/>
          <w:snapToGrid w:val="0"/>
          <w:kern w:val="0"/>
          <w:szCs w:val="24"/>
        </w:rPr>
      </w:pPr>
      <w:r>
        <w:rPr>
          <w:rFonts w:hint="eastAsia" w:ascii="仿宋" w:hAnsi="仿宋" w:eastAsia="仿宋" w:cs="仿宋"/>
          <w:snapToGrid w:val="0"/>
          <w:color w:val="000000"/>
          <w:kern w:val="0"/>
          <w:szCs w:val="24"/>
        </w:rPr>
        <w:t>电子邮箱：</w:t>
      </w:r>
    </w:p>
    <w:p>
      <w:pPr>
        <w:adjustRightInd w:val="0"/>
        <w:snapToGrid w:val="0"/>
        <w:spacing w:line="560" w:lineRule="exact"/>
        <w:ind w:firstLine="480"/>
        <w:jc w:val="left"/>
        <w:rPr>
          <w:rFonts w:ascii="仿宋" w:hAnsi="仿宋" w:eastAsia="仿宋" w:cs="仿宋"/>
          <w:snapToGrid w:val="0"/>
          <w:kern w:val="0"/>
          <w:szCs w:val="24"/>
        </w:rPr>
      </w:pPr>
    </w:p>
    <w:p>
      <w:pPr>
        <w:adjustRightInd w:val="0"/>
        <w:snapToGrid w:val="0"/>
        <w:spacing w:line="560" w:lineRule="exact"/>
        <w:ind w:firstLine="480"/>
        <w:jc w:val="left"/>
        <w:rPr>
          <w:rFonts w:ascii="仿宋" w:hAnsi="仿宋" w:eastAsia="仿宋" w:cs="仿宋"/>
          <w:snapToGrid w:val="0"/>
          <w:color w:val="000000"/>
          <w:kern w:val="0"/>
          <w:szCs w:val="24"/>
        </w:rPr>
      </w:pPr>
    </w:p>
    <w:p>
      <w:pPr>
        <w:pStyle w:val="76"/>
        <w:spacing w:line="560" w:lineRule="exact"/>
        <w:ind w:left="0" w:firstLine="0"/>
      </w:pPr>
      <w:bookmarkStart w:id="148" w:name="_Toc365318737"/>
      <w:bookmarkStart w:id="149" w:name="_Toc335848593"/>
      <w:bookmarkStart w:id="150" w:name="_Toc16062"/>
      <w:bookmarkStart w:id="151" w:name="_Toc365368990"/>
      <w:bookmarkStart w:id="152" w:name="_Toc361661624"/>
      <w:r>
        <w:t>格式五：投标单位的资质证明材料</w:t>
      </w:r>
      <w:bookmarkEnd w:id="135"/>
      <w:bookmarkEnd w:id="148"/>
      <w:bookmarkEnd w:id="149"/>
      <w:bookmarkEnd w:id="150"/>
      <w:bookmarkEnd w:id="151"/>
      <w:bookmarkEnd w:id="152"/>
    </w:p>
    <w:p>
      <w:pPr>
        <w:spacing w:line="500" w:lineRule="exact"/>
        <w:ind w:firstLine="0" w:firstLineChars="0"/>
        <w:jc w:val="center"/>
        <w:rPr>
          <w:rFonts w:ascii="仿宋" w:hAnsi="仿宋" w:eastAsia="仿宋" w:cs="仿宋"/>
          <w:color w:val="000000"/>
          <w:szCs w:val="24"/>
        </w:rPr>
      </w:pPr>
      <w:bookmarkStart w:id="153" w:name="_Toc359587713"/>
      <w:bookmarkStart w:id="154" w:name="_Toc359588430"/>
      <w:r>
        <w:rPr>
          <w:rFonts w:hint="eastAsia" w:ascii="仿宋" w:hAnsi="仿宋" w:eastAsia="仿宋" w:cs="仿宋"/>
          <w:color w:val="000000"/>
          <w:szCs w:val="24"/>
        </w:rPr>
        <w:t>投标单位的资质证明材</w:t>
      </w:r>
      <w:bookmarkEnd w:id="136"/>
      <w:r>
        <w:rPr>
          <w:rFonts w:hint="eastAsia" w:ascii="仿宋" w:hAnsi="仿宋" w:eastAsia="仿宋" w:cs="仿宋"/>
          <w:color w:val="000000"/>
          <w:szCs w:val="24"/>
        </w:rPr>
        <w:t>料</w:t>
      </w:r>
      <w:bookmarkEnd w:id="153"/>
      <w:bookmarkEnd w:id="154"/>
      <w:bookmarkStart w:id="155" w:name="_Toc267921556"/>
    </w:p>
    <w:p>
      <w:pPr>
        <w:spacing w:line="560" w:lineRule="exact"/>
        <w:ind w:firstLine="482"/>
        <w:jc w:val="center"/>
        <w:rPr>
          <w:rStyle w:val="74"/>
          <w:rFonts w:ascii="仿宋" w:hAnsi="仿宋" w:eastAsia="仿宋" w:cs="仿宋"/>
          <w:bCs w:val="0"/>
          <w:color w:val="000000"/>
          <w:sz w:val="24"/>
          <w:szCs w:val="24"/>
        </w:rPr>
      </w:pPr>
    </w:p>
    <w:p>
      <w:pPr>
        <w:numPr>
          <w:ilvl w:val="0"/>
          <w:numId w:val="26"/>
        </w:numPr>
        <w:spacing w:before="60" w:after="60" w:line="560" w:lineRule="exact"/>
        <w:ind w:hanging="278" w:firstLineChars="0"/>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企业法人营业执照（复印件加盖公章）；</w:t>
      </w:r>
    </w:p>
    <w:p>
      <w:pPr>
        <w:numPr>
          <w:ilvl w:val="0"/>
          <w:numId w:val="26"/>
        </w:numPr>
        <w:spacing w:before="60" w:after="60" w:line="560" w:lineRule="exact"/>
        <w:ind w:hanging="278" w:firstLineChars="0"/>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组织机构代码证（复印件加盖公章）；</w:t>
      </w:r>
    </w:p>
    <w:p>
      <w:pPr>
        <w:numPr>
          <w:ilvl w:val="0"/>
          <w:numId w:val="26"/>
        </w:numPr>
        <w:spacing w:before="60" w:after="60" w:line="560" w:lineRule="exact"/>
        <w:ind w:hanging="278" w:firstLineChars="0"/>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税务登记证（复印件加盖公章）；</w:t>
      </w:r>
    </w:p>
    <w:p>
      <w:pPr>
        <w:numPr>
          <w:ilvl w:val="0"/>
          <w:numId w:val="26"/>
        </w:numPr>
        <w:spacing w:before="60" w:after="60" w:line="560" w:lineRule="exact"/>
        <w:ind w:hanging="278" w:firstLineChars="0"/>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资质等级证书（ISO证书、CMM证书、产品登记证书、产品获奖证书等）；</w:t>
      </w:r>
    </w:p>
    <w:p>
      <w:pPr>
        <w:numPr>
          <w:ilvl w:val="0"/>
          <w:numId w:val="26"/>
        </w:numPr>
        <w:spacing w:before="60" w:after="60" w:line="560" w:lineRule="exact"/>
        <w:ind w:hanging="278" w:firstLineChars="0"/>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质量体系认证书（如有复印件加盖公章）；</w:t>
      </w:r>
    </w:p>
    <w:p>
      <w:pPr>
        <w:numPr>
          <w:ilvl w:val="0"/>
          <w:numId w:val="26"/>
        </w:numPr>
        <w:spacing w:before="60" w:after="60" w:line="560" w:lineRule="exact"/>
        <w:ind w:hanging="278" w:firstLineChars="0"/>
        <w:rPr>
          <w:rFonts w:ascii="仿宋" w:hAnsi="仿宋" w:eastAsia="仿宋" w:cs="仿宋"/>
          <w:snapToGrid w:val="0"/>
          <w:color w:val="000000"/>
          <w:kern w:val="0"/>
          <w:szCs w:val="24"/>
        </w:rPr>
      </w:pPr>
      <w:r>
        <w:rPr>
          <w:rFonts w:hint="eastAsia" w:ascii="仿宋" w:hAnsi="仿宋" w:eastAsia="仿宋" w:cs="仿宋"/>
          <w:snapToGrid w:val="0"/>
          <w:color w:val="000000"/>
          <w:kern w:val="0"/>
          <w:szCs w:val="24"/>
        </w:rPr>
        <w:t>其他证书（投标人认为能证明其实力的相关证书）；</w:t>
      </w:r>
    </w:p>
    <w:p>
      <w:pPr>
        <w:pStyle w:val="76"/>
        <w:spacing w:line="560" w:lineRule="exact"/>
        <w:ind w:left="0" w:firstLine="0"/>
      </w:pPr>
      <w:r>
        <w:rPr>
          <w:rFonts w:hint="eastAsia" w:ascii="仿宋" w:hAnsi="仿宋" w:eastAsia="仿宋" w:cs="仿宋"/>
          <w:sz w:val="24"/>
          <w:szCs w:val="24"/>
        </w:rPr>
        <w:br w:type="page"/>
      </w:r>
      <w:bookmarkStart w:id="156" w:name="_Toc361661623"/>
      <w:bookmarkStart w:id="157" w:name="_Toc359587710"/>
      <w:bookmarkStart w:id="158" w:name="_Toc2081"/>
      <w:bookmarkStart w:id="159" w:name="_Toc365318738"/>
      <w:bookmarkStart w:id="160" w:name="_Toc365368991"/>
      <w:bookmarkStart w:id="161" w:name="_Toc335848594"/>
      <w:bookmarkStart w:id="162" w:name="_Toc359587714"/>
      <w:bookmarkStart w:id="163" w:name="_Toc361661625"/>
      <w:r>
        <w:t>格式六：</w:t>
      </w:r>
      <w:bookmarkEnd w:id="156"/>
      <w:bookmarkEnd w:id="157"/>
      <w:r>
        <w:rPr>
          <w:rFonts w:hint="eastAsia"/>
        </w:rPr>
        <w:t>商务偏离表</w:t>
      </w:r>
      <w:bookmarkEnd w:id="158"/>
    </w:p>
    <w:p>
      <w:pPr>
        <w:pStyle w:val="18"/>
        <w:spacing w:line="480" w:lineRule="auto"/>
        <w:jc w:val="center"/>
      </w:pPr>
      <w:r>
        <w:rPr>
          <w:rFonts w:hint="eastAsia"/>
        </w:rPr>
        <w:t>商务偏离表</w:t>
      </w:r>
      <w:bookmarkEnd w:id="159"/>
      <w:bookmarkEnd w:id="160"/>
      <w:bookmarkEnd w:id="161"/>
    </w:p>
    <w:tbl>
      <w:tblPr>
        <w:tblStyle w:val="34"/>
        <w:tblW w:w="876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3544"/>
        <w:gridCol w:w="1335"/>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vAlign w:val="center"/>
          </w:tcPr>
          <w:p>
            <w:pPr>
              <w:pStyle w:val="29"/>
              <w:jc w:val="center"/>
              <w:rPr>
                <w:rStyle w:val="75"/>
                <w:rFonts w:ascii="仿宋" w:hAnsi="仿宋" w:eastAsia="仿宋" w:cs="仿宋"/>
                <w:b/>
                <w:color w:val="000000"/>
                <w:sz w:val="24"/>
              </w:rPr>
            </w:pPr>
            <w:r>
              <w:rPr>
                <w:rStyle w:val="75"/>
                <w:rFonts w:hint="eastAsia" w:ascii="仿宋" w:hAnsi="仿宋" w:eastAsia="仿宋" w:cs="仿宋"/>
                <w:b/>
                <w:color w:val="000000"/>
                <w:sz w:val="24"/>
              </w:rPr>
              <w:t>项目</w:t>
            </w:r>
          </w:p>
        </w:tc>
        <w:tc>
          <w:tcPr>
            <w:tcW w:w="3544" w:type="dxa"/>
            <w:vAlign w:val="center"/>
          </w:tcPr>
          <w:p>
            <w:pPr>
              <w:pStyle w:val="29"/>
              <w:jc w:val="center"/>
              <w:rPr>
                <w:rStyle w:val="75"/>
                <w:rFonts w:ascii="仿宋" w:hAnsi="仿宋" w:eastAsia="仿宋" w:cs="仿宋"/>
                <w:b/>
                <w:color w:val="000000"/>
                <w:sz w:val="24"/>
              </w:rPr>
            </w:pPr>
            <w:r>
              <w:rPr>
                <w:rStyle w:val="75"/>
                <w:rFonts w:hint="eastAsia" w:ascii="仿宋" w:hAnsi="仿宋" w:eastAsia="仿宋" w:cs="仿宋"/>
                <w:b/>
                <w:color w:val="000000"/>
                <w:sz w:val="24"/>
              </w:rPr>
              <w:t>招标要求</w:t>
            </w:r>
          </w:p>
        </w:tc>
        <w:tc>
          <w:tcPr>
            <w:tcW w:w="1335" w:type="dxa"/>
            <w:vAlign w:val="center"/>
          </w:tcPr>
          <w:p>
            <w:pPr>
              <w:pStyle w:val="29"/>
              <w:jc w:val="center"/>
              <w:rPr>
                <w:rStyle w:val="75"/>
                <w:rFonts w:ascii="仿宋" w:hAnsi="仿宋" w:eastAsia="仿宋" w:cs="仿宋"/>
                <w:b/>
                <w:color w:val="000000"/>
                <w:sz w:val="24"/>
              </w:rPr>
            </w:pPr>
            <w:r>
              <w:rPr>
                <w:rStyle w:val="75"/>
                <w:rFonts w:hint="eastAsia" w:ascii="仿宋" w:hAnsi="仿宋" w:eastAsia="仿宋" w:cs="仿宋"/>
                <w:b/>
                <w:color w:val="000000"/>
                <w:sz w:val="24"/>
              </w:rPr>
              <w:t>实际数据</w:t>
            </w:r>
          </w:p>
        </w:tc>
        <w:tc>
          <w:tcPr>
            <w:tcW w:w="1905" w:type="dxa"/>
            <w:vAlign w:val="center"/>
          </w:tcPr>
          <w:p>
            <w:pPr>
              <w:pStyle w:val="29"/>
              <w:jc w:val="center"/>
              <w:rPr>
                <w:rStyle w:val="75"/>
                <w:rFonts w:ascii="仿宋" w:hAnsi="仿宋" w:eastAsia="仿宋" w:cs="仿宋"/>
                <w:b/>
                <w:color w:val="000000"/>
                <w:sz w:val="24"/>
              </w:rPr>
            </w:pPr>
            <w:r>
              <w:rPr>
                <w:rStyle w:val="75"/>
                <w:rFonts w:hint="eastAsia" w:ascii="仿宋" w:hAnsi="仿宋" w:eastAsia="仿宋" w:cs="仿宋"/>
                <w:b/>
                <w:color w:val="000000"/>
                <w:sz w:val="24"/>
              </w:rPr>
              <w:t>偏离情况及原因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985" w:type="dxa"/>
            <w:vAlign w:val="center"/>
          </w:tcPr>
          <w:p>
            <w:pPr>
              <w:pStyle w:val="29"/>
              <w:jc w:val="center"/>
              <w:rPr>
                <w:rStyle w:val="75"/>
                <w:rFonts w:ascii="仿宋" w:hAnsi="仿宋" w:eastAsia="仿宋" w:cs="仿宋"/>
                <w:color w:val="000000"/>
                <w:sz w:val="24"/>
              </w:rPr>
            </w:pPr>
            <w:r>
              <w:rPr>
                <w:rFonts w:hint="eastAsia" w:ascii="仿宋" w:hAnsi="仿宋" w:eastAsia="仿宋" w:cs="仿宋"/>
                <w:color w:val="000000"/>
              </w:rPr>
              <w:t>企业法人营业执照</w:t>
            </w:r>
          </w:p>
        </w:tc>
        <w:tc>
          <w:tcPr>
            <w:tcW w:w="3544" w:type="dxa"/>
            <w:vAlign w:val="center"/>
          </w:tcPr>
          <w:p>
            <w:pPr>
              <w:pStyle w:val="29"/>
              <w:ind w:firstLine="360"/>
              <w:jc w:val="center"/>
              <w:rPr>
                <w:rStyle w:val="75"/>
                <w:rFonts w:ascii="仿宋" w:hAnsi="仿宋" w:eastAsia="仿宋" w:cs="仿宋"/>
                <w:color w:val="000000"/>
                <w:sz w:val="24"/>
              </w:rPr>
            </w:pPr>
            <w:r>
              <w:rPr>
                <w:rStyle w:val="75"/>
                <w:rFonts w:hint="eastAsia" w:ascii="仿宋" w:hAnsi="仿宋" w:eastAsia="仿宋" w:cs="仿宋"/>
                <w:color w:val="000000"/>
                <w:sz w:val="24"/>
              </w:rPr>
              <w:t>有</w:t>
            </w:r>
          </w:p>
        </w:tc>
        <w:tc>
          <w:tcPr>
            <w:tcW w:w="1335" w:type="dxa"/>
            <w:vAlign w:val="center"/>
          </w:tcPr>
          <w:p>
            <w:pPr>
              <w:pStyle w:val="29"/>
              <w:ind w:firstLine="360"/>
              <w:jc w:val="center"/>
              <w:rPr>
                <w:rStyle w:val="75"/>
                <w:rFonts w:ascii="仿宋" w:hAnsi="仿宋" w:eastAsia="仿宋" w:cs="仿宋"/>
                <w:b/>
                <w:color w:val="000000"/>
                <w:sz w:val="24"/>
              </w:rPr>
            </w:pPr>
          </w:p>
        </w:tc>
        <w:tc>
          <w:tcPr>
            <w:tcW w:w="1905" w:type="dxa"/>
            <w:vAlign w:val="center"/>
          </w:tcPr>
          <w:p>
            <w:pPr>
              <w:pStyle w:val="29"/>
              <w:ind w:firstLine="360"/>
              <w:jc w:val="center"/>
              <w:rPr>
                <w:rStyle w:val="75"/>
                <w:rFonts w:ascii="仿宋" w:hAnsi="仿宋" w:eastAsia="仿宋" w:cs="仿宋"/>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组织机构代码证</w:t>
            </w:r>
          </w:p>
        </w:tc>
        <w:tc>
          <w:tcPr>
            <w:tcW w:w="3544" w:type="dxa"/>
            <w:vAlign w:val="center"/>
          </w:tcPr>
          <w:p>
            <w:pPr>
              <w:pStyle w:val="29"/>
              <w:ind w:firstLine="360"/>
              <w:jc w:val="center"/>
              <w:rPr>
                <w:rStyle w:val="75"/>
                <w:rFonts w:ascii="仿宋" w:hAnsi="仿宋" w:eastAsia="仿宋" w:cs="仿宋"/>
                <w:color w:val="000000"/>
                <w:sz w:val="24"/>
              </w:rPr>
            </w:pPr>
            <w:r>
              <w:rPr>
                <w:rStyle w:val="75"/>
                <w:rFonts w:hint="eastAsia" w:ascii="仿宋" w:hAnsi="仿宋" w:eastAsia="仿宋" w:cs="仿宋"/>
                <w:color w:val="000000"/>
                <w:sz w:val="24"/>
              </w:rPr>
              <w:t>有</w:t>
            </w:r>
          </w:p>
        </w:tc>
        <w:tc>
          <w:tcPr>
            <w:tcW w:w="1335" w:type="dxa"/>
            <w:vAlign w:val="center"/>
          </w:tcPr>
          <w:p>
            <w:pPr>
              <w:pStyle w:val="29"/>
              <w:ind w:firstLine="360"/>
              <w:jc w:val="center"/>
              <w:rPr>
                <w:rStyle w:val="75"/>
                <w:rFonts w:ascii="仿宋" w:hAnsi="仿宋" w:eastAsia="仿宋" w:cs="仿宋"/>
                <w:b/>
                <w:color w:val="000000"/>
                <w:sz w:val="24"/>
              </w:rPr>
            </w:pPr>
          </w:p>
        </w:tc>
        <w:tc>
          <w:tcPr>
            <w:tcW w:w="1905" w:type="dxa"/>
            <w:vAlign w:val="center"/>
          </w:tcPr>
          <w:p>
            <w:pPr>
              <w:pStyle w:val="29"/>
              <w:ind w:firstLine="360"/>
              <w:jc w:val="center"/>
              <w:rPr>
                <w:rStyle w:val="75"/>
                <w:rFonts w:ascii="仿宋" w:hAnsi="仿宋" w:eastAsia="仿宋" w:cs="仿宋"/>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税务登记证</w:t>
            </w:r>
          </w:p>
        </w:tc>
        <w:tc>
          <w:tcPr>
            <w:tcW w:w="3544" w:type="dxa"/>
            <w:vAlign w:val="center"/>
          </w:tcPr>
          <w:p>
            <w:pPr>
              <w:pStyle w:val="29"/>
              <w:ind w:firstLine="360"/>
              <w:jc w:val="center"/>
              <w:rPr>
                <w:rStyle w:val="75"/>
                <w:rFonts w:ascii="仿宋" w:hAnsi="仿宋" w:eastAsia="仿宋" w:cs="仿宋"/>
                <w:color w:val="000000"/>
                <w:sz w:val="24"/>
              </w:rPr>
            </w:pPr>
            <w:r>
              <w:rPr>
                <w:rStyle w:val="75"/>
                <w:rFonts w:hint="eastAsia" w:ascii="仿宋" w:hAnsi="仿宋" w:eastAsia="仿宋" w:cs="仿宋"/>
                <w:color w:val="000000"/>
                <w:sz w:val="24"/>
              </w:rPr>
              <w:t>有</w:t>
            </w:r>
          </w:p>
        </w:tc>
        <w:tc>
          <w:tcPr>
            <w:tcW w:w="1335" w:type="dxa"/>
            <w:vAlign w:val="center"/>
          </w:tcPr>
          <w:p>
            <w:pPr>
              <w:pStyle w:val="29"/>
              <w:ind w:firstLine="360"/>
              <w:jc w:val="center"/>
              <w:rPr>
                <w:rStyle w:val="75"/>
                <w:rFonts w:ascii="仿宋" w:hAnsi="仿宋" w:eastAsia="仿宋" w:cs="仿宋"/>
                <w:b/>
                <w:color w:val="000000"/>
                <w:sz w:val="24"/>
              </w:rPr>
            </w:pPr>
          </w:p>
        </w:tc>
        <w:tc>
          <w:tcPr>
            <w:tcW w:w="1905" w:type="dxa"/>
            <w:vAlign w:val="center"/>
          </w:tcPr>
          <w:p>
            <w:pPr>
              <w:pStyle w:val="29"/>
              <w:ind w:firstLine="360"/>
              <w:jc w:val="center"/>
              <w:rPr>
                <w:rStyle w:val="75"/>
                <w:rFonts w:ascii="仿宋" w:hAnsi="仿宋" w:eastAsia="仿宋" w:cs="仿宋"/>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售后服务机构</w:t>
            </w:r>
          </w:p>
        </w:tc>
        <w:tc>
          <w:tcPr>
            <w:tcW w:w="3544"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投标方就本项目在厦门地区有专业的售后服务机构</w:t>
            </w:r>
          </w:p>
        </w:tc>
        <w:tc>
          <w:tcPr>
            <w:tcW w:w="1335" w:type="dxa"/>
            <w:vAlign w:val="center"/>
          </w:tcPr>
          <w:p>
            <w:pPr>
              <w:pStyle w:val="29"/>
              <w:ind w:firstLine="360"/>
              <w:jc w:val="center"/>
              <w:rPr>
                <w:rStyle w:val="75"/>
                <w:rFonts w:ascii="仿宋" w:hAnsi="仿宋" w:eastAsia="仿宋" w:cs="仿宋"/>
                <w:color w:val="000000"/>
                <w:sz w:val="24"/>
              </w:rPr>
            </w:pPr>
          </w:p>
        </w:tc>
        <w:tc>
          <w:tcPr>
            <w:tcW w:w="1905" w:type="dxa"/>
            <w:vAlign w:val="center"/>
          </w:tcPr>
          <w:p>
            <w:pPr>
              <w:pStyle w:val="29"/>
              <w:ind w:firstLine="360"/>
              <w:jc w:val="center"/>
              <w:rPr>
                <w:rStyle w:val="75"/>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技术支持人员</w:t>
            </w:r>
          </w:p>
        </w:tc>
        <w:tc>
          <w:tcPr>
            <w:tcW w:w="3544"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参与本项目建设及售后服务人员具有专业资格</w:t>
            </w:r>
          </w:p>
        </w:tc>
        <w:tc>
          <w:tcPr>
            <w:tcW w:w="1335" w:type="dxa"/>
            <w:vAlign w:val="center"/>
          </w:tcPr>
          <w:p>
            <w:pPr>
              <w:pStyle w:val="29"/>
              <w:ind w:firstLine="360"/>
              <w:jc w:val="center"/>
              <w:rPr>
                <w:rStyle w:val="75"/>
                <w:rFonts w:ascii="仿宋" w:hAnsi="仿宋" w:eastAsia="仿宋" w:cs="仿宋"/>
                <w:color w:val="000000"/>
                <w:sz w:val="24"/>
              </w:rPr>
            </w:pPr>
          </w:p>
        </w:tc>
        <w:tc>
          <w:tcPr>
            <w:tcW w:w="1905" w:type="dxa"/>
            <w:vAlign w:val="center"/>
          </w:tcPr>
          <w:p>
            <w:pPr>
              <w:pStyle w:val="29"/>
              <w:ind w:firstLine="360"/>
              <w:jc w:val="center"/>
              <w:rPr>
                <w:rStyle w:val="75"/>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vMerge w:val="restart"/>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售后维护</w:t>
            </w:r>
          </w:p>
        </w:tc>
        <w:tc>
          <w:tcPr>
            <w:tcW w:w="3544"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投标方提供一年7*24小时售后服务</w:t>
            </w:r>
            <w:r>
              <w:rPr>
                <w:rFonts w:hint="eastAsia" w:ascii="仿宋" w:hAnsi="仿宋" w:eastAsia="仿宋" w:cs="仿宋"/>
                <w:color w:val="000000"/>
              </w:rPr>
              <w:t>、技术服务承诺书</w:t>
            </w:r>
          </w:p>
        </w:tc>
        <w:tc>
          <w:tcPr>
            <w:tcW w:w="1335" w:type="dxa"/>
            <w:vAlign w:val="center"/>
          </w:tcPr>
          <w:p>
            <w:pPr>
              <w:pStyle w:val="29"/>
              <w:ind w:firstLine="360"/>
              <w:jc w:val="center"/>
              <w:rPr>
                <w:rStyle w:val="75"/>
                <w:rFonts w:ascii="仿宋" w:hAnsi="仿宋" w:eastAsia="仿宋" w:cs="仿宋"/>
                <w:color w:val="000000"/>
                <w:sz w:val="24"/>
              </w:rPr>
            </w:pPr>
          </w:p>
        </w:tc>
        <w:tc>
          <w:tcPr>
            <w:tcW w:w="1905" w:type="dxa"/>
            <w:vAlign w:val="center"/>
          </w:tcPr>
          <w:p>
            <w:pPr>
              <w:pStyle w:val="29"/>
              <w:ind w:firstLine="360"/>
              <w:jc w:val="center"/>
              <w:rPr>
                <w:rStyle w:val="75"/>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vMerge w:val="continue"/>
            <w:vAlign w:val="center"/>
          </w:tcPr>
          <w:p>
            <w:pPr>
              <w:pStyle w:val="29"/>
              <w:ind w:firstLine="360"/>
              <w:jc w:val="center"/>
              <w:rPr>
                <w:rStyle w:val="75"/>
                <w:rFonts w:ascii="仿宋" w:hAnsi="仿宋" w:eastAsia="仿宋" w:cs="仿宋"/>
                <w:color w:val="000000"/>
                <w:sz w:val="24"/>
              </w:rPr>
            </w:pPr>
          </w:p>
        </w:tc>
        <w:tc>
          <w:tcPr>
            <w:tcW w:w="3544" w:type="dxa"/>
            <w:vAlign w:val="center"/>
          </w:tcPr>
          <w:p>
            <w:pPr>
              <w:pStyle w:val="29"/>
              <w:ind w:firstLine="360"/>
              <w:jc w:val="center"/>
              <w:rPr>
                <w:rStyle w:val="75"/>
                <w:rFonts w:ascii="仿宋" w:hAnsi="仿宋" w:eastAsia="仿宋" w:cs="仿宋"/>
                <w:color w:val="000000"/>
                <w:sz w:val="24"/>
              </w:rPr>
            </w:pPr>
            <w:r>
              <w:rPr>
                <w:rStyle w:val="75"/>
                <w:rFonts w:hint="eastAsia" w:ascii="仿宋" w:hAnsi="仿宋" w:eastAsia="仿宋" w:cs="仿宋"/>
                <w:color w:val="000000"/>
                <w:sz w:val="24"/>
              </w:rPr>
              <w:t>10分钟内电话响应； 2小时内到用户现场； 4小时内排除一般故障；12小时内排除重大故障；超过12小时，中标方必须协助招标方启动应急预案，并且招标方有权邀请第三方单位参与故障排除，所产生的一切费用与损失由中标方承担</w:t>
            </w:r>
          </w:p>
        </w:tc>
        <w:tc>
          <w:tcPr>
            <w:tcW w:w="1335" w:type="dxa"/>
            <w:vAlign w:val="center"/>
          </w:tcPr>
          <w:p>
            <w:pPr>
              <w:pStyle w:val="29"/>
              <w:ind w:firstLine="360"/>
              <w:jc w:val="center"/>
              <w:rPr>
                <w:rStyle w:val="75"/>
                <w:rFonts w:ascii="仿宋" w:hAnsi="仿宋" w:eastAsia="仿宋" w:cs="仿宋"/>
                <w:color w:val="000000"/>
                <w:sz w:val="24"/>
              </w:rPr>
            </w:pPr>
          </w:p>
        </w:tc>
        <w:tc>
          <w:tcPr>
            <w:tcW w:w="1905" w:type="dxa"/>
            <w:vAlign w:val="center"/>
          </w:tcPr>
          <w:p>
            <w:pPr>
              <w:pStyle w:val="29"/>
              <w:ind w:firstLine="360"/>
              <w:jc w:val="center"/>
              <w:rPr>
                <w:rStyle w:val="75"/>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9" w:hRule="atLeast"/>
        </w:trPr>
        <w:tc>
          <w:tcPr>
            <w:tcW w:w="1985" w:type="dxa"/>
            <w:vAlign w:val="center"/>
          </w:tcPr>
          <w:p>
            <w:pPr>
              <w:pStyle w:val="29"/>
              <w:jc w:val="center"/>
              <w:rPr>
                <w:rStyle w:val="75"/>
                <w:rFonts w:ascii="仿宋" w:hAnsi="仿宋" w:eastAsia="仿宋" w:cs="仿宋"/>
                <w:color w:val="000000"/>
                <w:sz w:val="24"/>
              </w:rPr>
            </w:pPr>
            <w:r>
              <w:rPr>
                <w:rStyle w:val="75"/>
                <w:rFonts w:hint="eastAsia" w:ascii="仿宋" w:hAnsi="仿宋" w:eastAsia="仿宋" w:cs="仿宋"/>
                <w:color w:val="000000"/>
                <w:sz w:val="24"/>
              </w:rPr>
              <w:t>培训</w:t>
            </w:r>
          </w:p>
        </w:tc>
        <w:tc>
          <w:tcPr>
            <w:tcW w:w="3544" w:type="dxa"/>
            <w:vAlign w:val="center"/>
          </w:tcPr>
          <w:p>
            <w:pPr>
              <w:pStyle w:val="29"/>
              <w:ind w:firstLine="360"/>
              <w:jc w:val="center"/>
              <w:rPr>
                <w:rStyle w:val="75"/>
                <w:rFonts w:ascii="仿宋" w:hAnsi="仿宋" w:eastAsia="仿宋" w:cs="仿宋"/>
                <w:color w:val="000000"/>
                <w:sz w:val="24"/>
              </w:rPr>
            </w:pPr>
            <w:r>
              <w:rPr>
                <w:rFonts w:hint="eastAsia" w:ascii="仿宋" w:hAnsi="仿宋" w:eastAsia="仿宋" w:cs="仿宋"/>
                <w:color w:val="000000"/>
              </w:rPr>
              <w:t>负责用户技术人员和管理人员的技术培训。培训内容包括设备性能、安装、调试、使用与维护方面的普及层次的专业技术培训。</w:t>
            </w:r>
          </w:p>
        </w:tc>
        <w:tc>
          <w:tcPr>
            <w:tcW w:w="1335" w:type="dxa"/>
            <w:vAlign w:val="center"/>
          </w:tcPr>
          <w:p>
            <w:pPr>
              <w:pStyle w:val="29"/>
              <w:ind w:firstLine="360"/>
              <w:jc w:val="center"/>
              <w:rPr>
                <w:rStyle w:val="75"/>
                <w:rFonts w:ascii="仿宋" w:hAnsi="仿宋" w:eastAsia="仿宋" w:cs="仿宋"/>
                <w:color w:val="000000"/>
                <w:sz w:val="24"/>
              </w:rPr>
            </w:pPr>
          </w:p>
        </w:tc>
        <w:tc>
          <w:tcPr>
            <w:tcW w:w="1905" w:type="dxa"/>
            <w:vAlign w:val="center"/>
          </w:tcPr>
          <w:p>
            <w:pPr>
              <w:pStyle w:val="29"/>
              <w:ind w:firstLine="360"/>
              <w:jc w:val="center"/>
              <w:rPr>
                <w:rStyle w:val="75"/>
                <w:rFonts w:ascii="仿宋" w:hAnsi="仿宋" w:eastAsia="仿宋" w:cs="仿宋"/>
                <w:color w:val="000000"/>
                <w:sz w:val="24"/>
              </w:rPr>
            </w:pPr>
          </w:p>
        </w:tc>
      </w:tr>
    </w:tbl>
    <w:p>
      <w:pPr>
        <w:spacing w:line="240" w:lineRule="auto"/>
        <w:ind w:firstLine="1200" w:firstLineChars="500"/>
        <w:jc w:val="center"/>
        <w:rPr>
          <w:rFonts w:ascii="仿宋" w:hAnsi="仿宋" w:eastAsia="仿宋" w:cs="仿宋"/>
          <w:color w:val="000000"/>
          <w:szCs w:val="24"/>
        </w:rPr>
      </w:pPr>
      <w:r>
        <w:rPr>
          <w:rFonts w:hint="eastAsia" w:ascii="仿宋" w:hAnsi="仿宋" w:eastAsia="仿宋" w:cs="仿宋"/>
          <w:color w:val="000000"/>
          <w:szCs w:val="24"/>
        </w:rPr>
        <w:t>投标人名称：</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（盖单位章）</w:t>
      </w:r>
    </w:p>
    <w:p>
      <w:pPr>
        <w:spacing w:line="240" w:lineRule="auto"/>
        <w:ind w:firstLine="1200" w:firstLineChars="500"/>
        <w:jc w:val="center"/>
        <w:rPr>
          <w:rFonts w:ascii="仿宋" w:hAnsi="仿宋" w:eastAsia="仿宋" w:cs="仿宋"/>
          <w:color w:val="000000"/>
          <w:szCs w:val="24"/>
        </w:rPr>
      </w:pPr>
      <w:r>
        <w:rPr>
          <w:rFonts w:hint="eastAsia" w:ascii="仿宋" w:hAnsi="仿宋" w:eastAsia="仿宋" w:cs="仿宋"/>
          <w:color w:val="000000"/>
          <w:szCs w:val="24"/>
        </w:rPr>
        <w:t>法定代表人或其委托代理人：</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（签字）</w:t>
      </w:r>
    </w:p>
    <w:p>
      <w:pPr>
        <w:spacing w:line="240" w:lineRule="auto"/>
        <w:ind w:firstLine="480"/>
        <w:jc w:val="center"/>
        <w:rPr>
          <w:rFonts w:ascii="仿宋" w:hAnsi="仿宋" w:eastAsia="仿宋" w:cs="仿宋"/>
          <w:color w:val="000000"/>
          <w:szCs w:val="24"/>
        </w:rPr>
      </w:pPr>
      <w:r>
        <w:rPr>
          <w:rFonts w:hint="eastAsia" w:ascii="仿宋" w:hAnsi="仿宋" w:eastAsia="仿宋" w:cs="仿宋"/>
          <w:color w:val="000000"/>
          <w:szCs w:val="24"/>
        </w:rPr>
        <w:t>年</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月</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日</w:t>
      </w:r>
      <w:bookmarkEnd w:id="155"/>
      <w:bookmarkEnd w:id="162"/>
      <w:bookmarkEnd w:id="163"/>
      <w:bookmarkStart w:id="164" w:name="_Toc359587718"/>
      <w:bookmarkStart w:id="165" w:name="_Toc365368993"/>
      <w:bookmarkStart w:id="166" w:name="_Toc361661626"/>
      <w:bookmarkStart w:id="167" w:name="_Toc365318740"/>
      <w:bookmarkStart w:id="168" w:name="_Toc267921559"/>
    </w:p>
    <w:p>
      <w:pPr>
        <w:pStyle w:val="76"/>
      </w:pPr>
      <w:bookmarkStart w:id="169" w:name="_Toc25262"/>
      <w:r>
        <w:t>格式七：廉洁诚信承诺书</w:t>
      </w:r>
      <w:bookmarkEnd w:id="169"/>
    </w:p>
    <w:p>
      <w:pPr>
        <w:spacing w:line="220" w:lineRule="atLeast"/>
        <w:ind w:firstLine="643"/>
        <w:jc w:val="center"/>
        <w:rPr>
          <w:rFonts w:ascii="仿宋" w:hAnsi="仿宋" w:eastAsia="仿宋"/>
          <w:b/>
          <w:sz w:val="32"/>
          <w:szCs w:val="32"/>
        </w:rPr>
      </w:pPr>
      <w:bookmarkStart w:id="170" w:name="_Hlk111018861"/>
      <w:bookmarkStart w:id="171" w:name="_Hlk111019968"/>
      <w:r>
        <w:rPr>
          <w:rFonts w:hint="eastAsia" w:ascii="仿宋" w:hAnsi="仿宋" w:eastAsia="仿宋"/>
          <w:b/>
          <w:sz w:val="32"/>
          <w:szCs w:val="32"/>
        </w:rPr>
        <w:t>廉洁诚信承诺书</w:t>
      </w:r>
    </w:p>
    <w:bookmarkEnd w:id="170"/>
    <w:p>
      <w:pPr>
        <w:spacing w:line="560" w:lineRule="exact"/>
        <w:ind w:firstLine="482"/>
        <w:jc w:val="center"/>
        <w:rPr>
          <w:rFonts w:ascii="仿宋" w:hAnsi="仿宋" w:eastAsia="仿宋" w:cs="仿宋"/>
          <w:b/>
          <w:szCs w:val="24"/>
        </w:rPr>
      </w:pPr>
    </w:p>
    <w:p>
      <w:pPr>
        <w:spacing w:line="560" w:lineRule="exact"/>
        <w:ind w:left="-458" w:leftChars="-191" w:firstLine="480"/>
        <w:rPr>
          <w:rFonts w:ascii="仿宋" w:hAnsi="仿宋" w:eastAsia="仿宋" w:cs="仿宋"/>
          <w:szCs w:val="24"/>
        </w:rPr>
      </w:pPr>
      <w:r>
        <w:rPr>
          <w:rFonts w:hint="eastAsia" w:ascii="仿宋" w:hAnsi="仿宋" w:eastAsia="仿宋" w:cs="仿宋"/>
          <w:szCs w:val="24"/>
        </w:rPr>
        <w:t>致厦门开元数字科技有限公司：</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承诺方系厦门开元数字科技有限公司（以下简称“开元数科”）的供应商、服务商或合作商，在相关业务活动(包括但不限于交易洽谈、供货、服务、承揽、技术合作交流、付款)中接触开元数科相关人员和资讯，在廉洁义务和操守方面做出如下承诺：</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一、自觉遵守国家法律、法规，按照《中国共产党纪律处分条例》、《中华人民共和国反不正当竞争法》、《关于禁止商业贿赂行为的暂行规定》、《中华人民共和国招投标法》以及有关要求进行各项业务活动。</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二、不向开元数科的工作人员及其亲属馈赠礼金、礼品（含有价证券）；不向开元数科的工作人员提供任何应由其个人支付报酬的劳务和其它服务；不为开元数科的工作人员安排可能影响公正执行公务的任何活动；不为开元数科的工作人员支付应由其个人支付的任何赞助费、宣传费、咨询费、劳务费等；不为开元数科工作人员报销任何名义的个人消费凭证。一经发现有上述行为，招标人有权取消中标资格。</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三、不与其他经营者串通报价和投标，不排挤其他经营者的公平竞争，损害其他经营者的合法权益；不在工程建设的预决算编制工作中弄虚作假、高估冒算。</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四、承诺方在与开元数科达成和交易履行过程中，提供的资质证明、证照、企业及个人资料、住所、产品名称、规格、品质、服务标准、票据、权证、权利限制均为真实，不存在虚假、期满、伪造、变造行为，如上述情况发生变更，承诺方需在5个工作日内通知开元数科备案存档。</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五、承诺方禁止提供仿冒品（包括但不限于如贴牌、掺杂掺假，以次充好，以旧冒新、以不合格冒充合格）或不符合开元数科所需规格之商品提供开元数科使用。</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六、承诺方同意开元数科依其保密制度所划列的机密资料可包括一切关于开元数科，无论是否有价值，被公开或正在采取保密措施的书面、口头或以其他形式呈现、保存之资讯、承诺方与接受机密资料弎年内均有保密义务，未经开元数科同意不得利用或向任何第三方泄露、交付。</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七、为净化采购相关秩序及环境，可至开元数科进行投诉或申报。</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八、违约责任</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承诺方承诺如违反本承诺书所述任何义务，无论是否给开元数科造成损失，承诺方将承担一切责任，并就开元数科实际造成的经济、名誉损失进行赔偿。开元数科有权解除双方合同并不负任何违约责任，有权从应付承诺方账款中扣罚，并可采用法律手段索赔。</w:t>
      </w:r>
    </w:p>
    <w:p>
      <w:pPr>
        <w:spacing w:line="560" w:lineRule="exact"/>
        <w:ind w:left="-463" w:leftChars="-193" w:firstLine="480"/>
        <w:rPr>
          <w:rFonts w:ascii="仿宋" w:hAnsi="仿宋" w:eastAsia="仿宋" w:cs="仿宋"/>
          <w:szCs w:val="24"/>
        </w:rPr>
      </w:pPr>
      <w:r>
        <w:rPr>
          <w:rFonts w:hint="eastAsia" w:ascii="仿宋" w:hAnsi="仿宋" w:eastAsia="仿宋" w:cs="仿宋"/>
          <w:szCs w:val="24"/>
        </w:rPr>
        <w:t>九、自觉接受监督。</w:t>
      </w:r>
    </w:p>
    <w:p>
      <w:pPr>
        <w:spacing w:line="560" w:lineRule="exact"/>
        <w:ind w:firstLine="480"/>
        <w:rPr>
          <w:rFonts w:ascii="仿宋" w:hAnsi="仿宋" w:eastAsia="仿宋" w:cs="仿宋"/>
          <w:szCs w:val="24"/>
        </w:rPr>
      </w:pPr>
      <w:r>
        <w:rPr>
          <w:rFonts w:hint="eastAsia" w:ascii="仿宋" w:hAnsi="仿宋" w:eastAsia="仿宋" w:cs="仿宋"/>
          <w:szCs w:val="24"/>
        </w:rPr>
        <w:t>特此承诺。</w:t>
      </w:r>
    </w:p>
    <w:p>
      <w:pPr>
        <w:spacing w:line="560" w:lineRule="exact"/>
        <w:ind w:left="-120" w:leftChars="-50" w:firstLine="480"/>
        <w:jc w:val="center"/>
        <w:rPr>
          <w:rFonts w:ascii="仿宋" w:hAnsi="仿宋" w:eastAsia="仿宋" w:cs="仿宋"/>
          <w:szCs w:val="24"/>
        </w:rPr>
      </w:pPr>
    </w:p>
    <w:p>
      <w:pPr>
        <w:spacing w:line="560" w:lineRule="exact"/>
        <w:ind w:left="-120" w:leftChars="-50" w:firstLine="480"/>
        <w:jc w:val="center"/>
        <w:rPr>
          <w:rFonts w:ascii="仿宋" w:hAnsi="仿宋" w:eastAsia="仿宋" w:cs="仿宋"/>
          <w:szCs w:val="24"/>
        </w:rPr>
      </w:pPr>
    </w:p>
    <w:p>
      <w:pPr>
        <w:spacing w:line="560" w:lineRule="exact"/>
        <w:ind w:left="-120" w:leftChars="-50" w:firstLine="480"/>
        <w:jc w:val="center"/>
        <w:rPr>
          <w:rFonts w:ascii="仿宋" w:hAnsi="仿宋" w:eastAsia="仿宋" w:cs="仿宋"/>
          <w:szCs w:val="24"/>
        </w:rPr>
      </w:pPr>
      <w:r>
        <w:rPr>
          <w:rFonts w:hint="eastAsia" w:ascii="仿宋" w:hAnsi="仿宋" w:eastAsia="仿宋" w:cs="仿宋"/>
          <w:szCs w:val="24"/>
        </w:rPr>
        <w:t xml:space="preserve">              承诺人（投标人）名称（盖章）：</w:t>
      </w:r>
    </w:p>
    <w:p>
      <w:pPr>
        <w:spacing w:line="560" w:lineRule="exact"/>
        <w:ind w:left="-120" w:leftChars="-50" w:firstLine="480"/>
        <w:jc w:val="center"/>
        <w:rPr>
          <w:rFonts w:ascii="仿宋" w:hAnsi="仿宋" w:eastAsia="仿宋" w:cs="仿宋"/>
          <w:szCs w:val="24"/>
        </w:rPr>
      </w:pPr>
      <w:r>
        <w:rPr>
          <w:rFonts w:hint="eastAsia" w:ascii="仿宋" w:hAnsi="仿宋" w:eastAsia="仿宋" w:cs="仿宋"/>
          <w:szCs w:val="24"/>
        </w:rPr>
        <w:t xml:space="preserve">            法定代表人（或投标人代表）：</w:t>
      </w:r>
    </w:p>
    <w:p>
      <w:pPr>
        <w:spacing w:line="560" w:lineRule="exact"/>
        <w:ind w:left="3392" w:firstLine="600" w:firstLineChars="250"/>
        <w:rPr>
          <w:rFonts w:ascii="仿宋" w:hAnsi="仿宋" w:eastAsia="仿宋" w:cs="仿宋"/>
          <w:szCs w:val="24"/>
        </w:rPr>
      </w:pPr>
      <w:r>
        <w:rPr>
          <w:rFonts w:hint="eastAsia" w:ascii="仿宋" w:hAnsi="仿宋" w:eastAsia="仿宋" w:cs="仿宋"/>
          <w:szCs w:val="24"/>
        </w:rPr>
        <w:t>日期：</w:t>
      </w:r>
      <w:bookmarkEnd w:id="171"/>
    </w:p>
    <w:p>
      <w:pPr>
        <w:spacing w:line="560" w:lineRule="exact"/>
        <w:ind w:left="3392" w:firstLine="800" w:firstLineChars="250"/>
        <w:rPr>
          <w:rFonts w:ascii="仿宋_GB2312" w:hAnsi="仿宋_GB2312" w:eastAsia="仿宋_GB2312" w:cs="仿宋_GB2312"/>
          <w:color w:val="000000"/>
          <w:sz w:val="32"/>
          <w:szCs w:val="32"/>
        </w:rPr>
      </w:pPr>
    </w:p>
    <w:p>
      <w:pPr>
        <w:spacing w:line="560" w:lineRule="exact"/>
        <w:ind w:left="3392" w:firstLine="800" w:firstLineChars="250"/>
        <w:rPr>
          <w:rFonts w:ascii="仿宋_GB2312" w:hAnsi="仿宋_GB2312" w:eastAsia="仿宋_GB2312" w:cs="仿宋_GB2312"/>
          <w:sz w:val="32"/>
          <w:szCs w:val="32"/>
        </w:rPr>
      </w:pPr>
    </w:p>
    <w:p>
      <w:pPr>
        <w:ind w:firstLine="480"/>
      </w:pPr>
    </w:p>
    <w:p>
      <w:pPr>
        <w:ind w:firstLine="480"/>
      </w:pPr>
    </w:p>
    <w:p>
      <w:pPr>
        <w:ind w:firstLine="480"/>
      </w:pPr>
    </w:p>
    <w:p>
      <w:pPr>
        <w:pStyle w:val="76"/>
      </w:pPr>
      <w:bookmarkStart w:id="172" w:name="_Toc29847"/>
      <w:r>
        <w:t>格式八：售后服务承诺函</w:t>
      </w:r>
      <w:bookmarkEnd w:id="172"/>
    </w:p>
    <w:p>
      <w:pPr>
        <w:spacing w:line="560" w:lineRule="exact"/>
        <w:ind w:firstLine="482"/>
        <w:jc w:val="center"/>
        <w:rPr>
          <w:rFonts w:ascii="仿宋_GB2312" w:hAnsi="仿宋_GB2312" w:eastAsia="仿宋_GB2312" w:cs="仿宋_GB2312"/>
          <w:b/>
          <w:bCs/>
          <w:sz w:val="32"/>
          <w:szCs w:val="32"/>
        </w:rPr>
      </w:pPr>
      <w:r>
        <w:rPr>
          <w:rFonts w:ascii="仿宋" w:hAnsi="仿宋" w:eastAsia="仿宋"/>
          <w:b/>
          <w:szCs w:val="24"/>
        </w:rPr>
        <w:t>售后服务承诺函</w:t>
      </w:r>
      <w:r>
        <w:rPr>
          <w:rFonts w:ascii="方正小标宋简体" w:hAnsi="方正小标宋简体" w:eastAsia="方正小标宋简体" w:cs="方正小标宋简体"/>
          <w:bCs/>
          <w:sz w:val="44"/>
          <w:szCs w:val="44"/>
        </w:rPr>
        <w:cr/>
      </w:r>
    </w:p>
    <w:p>
      <w:pPr>
        <w:pStyle w:val="14"/>
        <w:tabs>
          <w:tab w:val="left" w:pos="4580"/>
        </w:tabs>
        <w:spacing w:line="500" w:lineRule="exact"/>
        <w:ind w:firstLine="720" w:firstLineChars="300"/>
        <w:rPr>
          <w:rFonts w:ascii="仿宋" w:hAnsi="仿宋" w:eastAsia="仿宋"/>
          <w:szCs w:val="24"/>
        </w:rPr>
      </w:pPr>
      <w:r>
        <w:rPr>
          <w:rFonts w:hint="eastAsia" w:ascii="仿宋" w:hAnsi="仿宋" w:eastAsia="仿宋"/>
          <w:szCs w:val="24"/>
        </w:rPr>
        <w:t>根据贵方为思明控股统一协同办公系统招标项目的投标要求，我公司对该项目做出如下售后服务方案：</w:t>
      </w:r>
    </w:p>
    <w:p>
      <w:pPr>
        <w:pStyle w:val="14"/>
        <w:tabs>
          <w:tab w:val="left" w:pos="4580"/>
        </w:tabs>
        <w:spacing w:line="500" w:lineRule="exact"/>
        <w:ind w:firstLine="720" w:firstLineChars="300"/>
        <w:rPr>
          <w:rFonts w:ascii="仿宋" w:hAnsi="仿宋" w:eastAsia="仿宋"/>
          <w:szCs w:val="24"/>
        </w:rPr>
      </w:pPr>
    </w:p>
    <w:p>
      <w:pPr>
        <w:pStyle w:val="14"/>
        <w:tabs>
          <w:tab w:val="left" w:pos="4580"/>
        </w:tabs>
        <w:spacing w:line="500" w:lineRule="exact"/>
        <w:ind w:firstLine="720" w:firstLineChars="300"/>
        <w:rPr>
          <w:rFonts w:ascii="仿宋" w:hAnsi="仿宋" w:eastAsia="仿宋"/>
          <w:szCs w:val="24"/>
        </w:rPr>
      </w:pPr>
    </w:p>
    <w:p>
      <w:pPr>
        <w:pStyle w:val="14"/>
        <w:tabs>
          <w:tab w:val="left" w:pos="4580"/>
        </w:tabs>
        <w:spacing w:line="500" w:lineRule="exact"/>
        <w:ind w:firstLine="720" w:firstLineChars="300"/>
        <w:rPr>
          <w:rFonts w:ascii="仿宋" w:hAnsi="仿宋" w:eastAsia="仿宋"/>
          <w:szCs w:val="24"/>
        </w:rPr>
      </w:pPr>
      <w:r>
        <w:rPr>
          <w:rFonts w:hint="eastAsia" w:ascii="仿宋" w:hAnsi="仿宋" w:eastAsia="仿宋"/>
          <w:szCs w:val="24"/>
        </w:rPr>
        <w:t>（服务内容根据招标文件要求自拟）</w:t>
      </w:r>
    </w:p>
    <w:p>
      <w:pPr>
        <w:pStyle w:val="14"/>
        <w:tabs>
          <w:tab w:val="left" w:pos="4580"/>
        </w:tabs>
        <w:spacing w:line="500" w:lineRule="exact"/>
        <w:ind w:firstLine="720" w:firstLineChars="300"/>
        <w:rPr>
          <w:rFonts w:ascii="仿宋" w:hAnsi="仿宋" w:eastAsia="仿宋"/>
          <w:szCs w:val="24"/>
        </w:rPr>
      </w:pPr>
    </w:p>
    <w:p>
      <w:pPr>
        <w:pStyle w:val="14"/>
        <w:tabs>
          <w:tab w:val="left" w:pos="4580"/>
        </w:tabs>
        <w:spacing w:line="500" w:lineRule="exact"/>
        <w:ind w:firstLine="720" w:firstLineChars="300"/>
        <w:rPr>
          <w:rFonts w:ascii="仿宋" w:hAnsi="仿宋" w:eastAsia="仿宋"/>
          <w:szCs w:val="24"/>
        </w:rPr>
      </w:pPr>
      <w:r>
        <w:rPr>
          <w:rFonts w:hint="eastAsia" w:ascii="仿宋" w:hAnsi="仿宋" w:eastAsia="仿宋"/>
          <w:szCs w:val="24"/>
        </w:rPr>
        <w:tab/>
      </w:r>
    </w:p>
    <w:p>
      <w:pPr>
        <w:pStyle w:val="14"/>
        <w:tabs>
          <w:tab w:val="left" w:pos="4580"/>
        </w:tabs>
        <w:spacing w:line="500" w:lineRule="exact"/>
        <w:ind w:firstLine="720" w:firstLineChars="300"/>
        <w:jc w:val="right"/>
        <w:rPr>
          <w:rFonts w:ascii="仿宋" w:hAnsi="仿宋" w:eastAsia="仿宋"/>
          <w:szCs w:val="24"/>
        </w:rPr>
      </w:pPr>
    </w:p>
    <w:p>
      <w:pPr>
        <w:pStyle w:val="14"/>
        <w:tabs>
          <w:tab w:val="left" w:pos="4580"/>
        </w:tabs>
        <w:spacing w:line="500" w:lineRule="exact"/>
        <w:ind w:firstLine="720" w:firstLineChars="300"/>
        <w:jc w:val="right"/>
        <w:rPr>
          <w:rFonts w:ascii="仿宋" w:hAnsi="仿宋" w:eastAsia="仿宋"/>
          <w:szCs w:val="24"/>
        </w:rPr>
      </w:pPr>
      <w:r>
        <w:rPr>
          <w:rFonts w:hint="eastAsia" w:ascii="仿宋" w:hAnsi="仿宋" w:eastAsia="仿宋"/>
          <w:szCs w:val="24"/>
        </w:rPr>
        <w:t>投标人名称：                  （盖单位章）</w:t>
      </w:r>
    </w:p>
    <w:p>
      <w:pPr>
        <w:pStyle w:val="14"/>
        <w:tabs>
          <w:tab w:val="left" w:pos="4580"/>
        </w:tabs>
        <w:spacing w:line="500" w:lineRule="exact"/>
        <w:ind w:firstLine="720" w:firstLineChars="300"/>
        <w:jc w:val="right"/>
        <w:rPr>
          <w:rFonts w:ascii="仿宋" w:hAnsi="仿宋" w:eastAsia="仿宋"/>
          <w:szCs w:val="24"/>
        </w:rPr>
      </w:pPr>
      <w:r>
        <w:rPr>
          <w:rFonts w:hint="eastAsia" w:ascii="仿宋" w:hAnsi="仿宋" w:eastAsia="仿宋"/>
          <w:szCs w:val="24"/>
        </w:rPr>
        <w:t>法定代表人或其委托代理人：       （签字）</w:t>
      </w:r>
    </w:p>
    <w:p>
      <w:pPr>
        <w:pStyle w:val="14"/>
        <w:tabs>
          <w:tab w:val="left" w:pos="4580"/>
        </w:tabs>
        <w:spacing w:line="500" w:lineRule="exact"/>
        <w:ind w:firstLine="720" w:firstLineChars="300"/>
        <w:jc w:val="right"/>
        <w:rPr>
          <w:rFonts w:ascii="仿宋" w:hAnsi="仿宋" w:eastAsia="仿宋"/>
          <w:szCs w:val="24"/>
        </w:rPr>
      </w:pPr>
      <w:r>
        <w:rPr>
          <w:rFonts w:hint="eastAsia" w:ascii="仿宋" w:hAnsi="仿宋" w:eastAsia="仿宋"/>
          <w:szCs w:val="24"/>
        </w:rPr>
        <w:t xml:space="preserve">       年       月       日</w:t>
      </w:r>
    </w:p>
    <w:p>
      <w:pPr>
        <w:spacing w:line="560" w:lineRule="exact"/>
        <w:ind w:left="3392" w:firstLine="800" w:firstLineChars="250"/>
        <w:rPr>
          <w:rFonts w:ascii="仿宋_GB2312" w:hAnsi="仿宋_GB2312" w:eastAsia="仿宋_GB2312" w:cs="仿宋_GB2312"/>
          <w:color w:val="000000"/>
          <w:sz w:val="32"/>
          <w:szCs w:val="32"/>
        </w:rPr>
      </w:pPr>
    </w:p>
    <w:p>
      <w:pPr>
        <w:pStyle w:val="76"/>
        <w:spacing w:line="560" w:lineRule="exact"/>
        <w:ind w:left="0" w:firstLine="0"/>
        <w:rPr>
          <w:rFonts w:ascii="仿宋_GB2312" w:hAnsi="仿宋_GB2312" w:eastAsia="仿宋_GB2312" w:cs="仿宋_GB2312"/>
          <w:sz w:val="32"/>
          <w:szCs w:val="32"/>
        </w:rPr>
      </w:pPr>
      <w:bookmarkStart w:id="173" w:name="_Toc335848595"/>
    </w:p>
    <w:p>
      <w:pPr>
        <w:spacing w:line="500" w:lineRule="exact"/>
        <w:ind w:firstLine="0" w:firstLineChars="0"/>
        <w:rPr>
          <w:rFonts w:ascii="仿宋" w:hAnsi="仿宋" w:eastAsia="仿宋" w:cs="Times New Roman"/>
          <w:b/>
          <w:bCs/>
          <w:sz w:val="32"/>
          <w:szCs w:val="32"/>
        </w:rPr>
      </w:pPr>
    </w:p>
    <w:p>
      <w:pPr>
        <w:spacing w:line="500" w:lineRule="exact"/>
        <w:ind w:firstLine="0" w:firstLineChars="0"/>
        <w:rPr>
          <w:rFonts w:ascii="仿宋" w:hAnsi="仿宋" w:eastAsia="仿宋" w:cs="Times New Roman"/>
          <w:b/>
          <w:bCs/>
          <w:sz w:val="32"/>
          <w:szCs w:val="32"/>
        </w:rPr>
      </w:pPr>
    </w:p>
    <w:p>
      <w:pPr>
        <w:spacing w:line="500" w:lineRule="exact"/>
        <w:ind w:firstLine="0" w:firstLineChars="0"/>
        <w:rPr>
          <w:rFonts w:ascii="仿宋" w:hAnsi="仿宋" w:eastAsia="仿宋" w:cs="Times New Roman"/>
          <w:b/>
          <w:bCs/>
          <w:sz w:val="32"/>
          <w:szCs w:val="32"/>
        </w:rPr>
      </w:pPr>
    </w:p>
    <w:p>
      <w:pPr>
        <w:spacing w:line="500" w:lineRule="exact"/>
        <w:ind w:firstLine="0" w:firstLineChars="0"/>
        <w:rPr>
          <w:rFonts w:ascii="仿宋" w:hAnsi="仿宋" w:eastAsia="仿宋" w:cs="Times New Roman"/>
          <w:b/>
          <w:bCs/>
          <w:sz w:val="32"/>
          <w:szCs w:val="32"/>
        </w:rPr>
      </w:pPr>
    </w:p>
    <w:p>
      <w:pPr>
        <w:spacing w:line="500" w:lineRule="exact"/>
        <w:ind w:firstLine="0" w:firstLineChars="0"/>
        <w:rPr>
          <w:rFonts w:ascii="仿宋" w:hAnsi="仿宋" w:eastAsia="仿宋" w:cs="Times New Roman"/>
          <w:b/>
          <w:bCs/>
          <w:sz w:val="32"/>
          <w:szCs w:val="32"/>
        </w:rPr>
      </w:pPr>
    </w:p>
    <w:p>
      <w:pPr>
        <w:pStyle w:val="76"/>
      </w:pPr>
      <w:bookmarkStart w:id="174" w:name="_Toc18720"/>
      <w:r>
        <w:t>格式九：</w:t>
      </w:r>
      <w:bookmarkEnd w:id="164"/>
      <w:r>
        <w:t>技术</w:t>
      </w:r>
      <w:r>
        <w:rPr>
          <w:rFonts w:hint="eastAsia"/>
        </w:rPr>
        <w:t>规格偏差表</w:t>
      </w:r>
      <w:bookmarkEnd w:id="165"/>
      <w:bookmarkEnd w:id="166"/>
      <w:bookmarkEnd w:id="167"/>
      <w:bookmarkEnd w:id="173"/>
      <w:bookmarkEnd w:id="174"/>
    </w:p>
    <w:bookmarkEnd w:id="168"/>
    <w:p>
      <w:pPr>
        <w:spacing w:line="560" w:lineRule="exact"/>
        <w:ind w:firstLine="0" w:firstLineChars="0"/>
        <w:jc w:val="center"/>
        <w:rPr>
          <w:rFonts w:ascii="仿宋" w:hAnsi="仿宋" w:eastAsia="仿宋"/>
          <w:b/>
          <w:szCs w:val="24"/>
        </w:rPr>
      </w:pPr>
      <w:r>
        <w:rPr>
          <w:rFonts w:ascii="仿宋" w:hAnsi="仿宋" w:eastAsia="仿宋"/>
          <w:b/>
          <w:szCs w:val="24"/>
        </w:rPr>
        <w:t>技术</w:t>
      </w:r>
      <w:r>
        <w:rPr>
          <w:rFonts w:hint="eastAsia" w:ascii="仿宋" w:hAnsi="仿宋" w:eastAsia="仿宋"/>
          <w:b/>
          <w:szCs w:val="24"/>
        </w:rPr>
        <w:t>规格偏差表</w:t>
      </w:r>
    </w:p>
    <w:p>
      <w:pPr>
        <w:spacing w:after="120" w:line="560" w:lineRule="exact"/>
        <w:ind w:firstLine="480"/>
        <w:rPr>
          <w:rFonts w:ascii="仿宋" w:hAnsi="仿宋" w:eastAsia="仿宋" w:cs="仿宋"/>
          <w:szCs w:val="24"/>
          <w:u w:val="single"/>
        </w:rPr>
      </w:pPr>
      <w:r>
        <w:rPr>
          <w:rFonts w:hint="eastAsia" w:ascii="仿宋" w:hAnsi="仿宋" w:eastAsia="仿宋" w:cs="仿宋"/>
          <w:color w:val="000000"/>
          <w:szCs w:val="24"/>
        </w:rPr>
        <w:t>投标人名称：</w:t>
      </w:r>
      <w:r>
        <w:rPr>
          <w:rFonts w:hint="eastAsia" w:ascii="仿宋" w:hAnsi="仿宋" w:eastAsia="仿宋" w:cs="仿宋"/>
          <w:color w:val="000000"/>
          <w:szCs w:val="24"/>
          <w:u w:val="single"/>
        </w:rPr>
        <w:t xml:space="preserve">                     </w:t>
      </w:r>
    </w:p>
    <w:p>
      <w:pPr>
        <w:spacing w:after="120" w:line="560" w:lineRule="exact"/>
        <w:ind w:firstLine="480"/>
        <w:rPr>
          <w:rFonts w:ascii="仿宋" w:hAnsi="仿宋" w:eastAsia="仿宋" w:cs="仿宋"/>
          <w:color w:val="000000"/>
          <w:szCs w:val="24"/>
        </w:rPr>
      </w:pPr>
      <w:r>
        <w:rPr>
          <w:rFonts w:hint="eastAsia" w:ascii="仿宋" w:hAnsi="仿宋" w:eastAsia="仿宋" w:cs="仿宋"/>
          <w:color w:val="000000"/>
          <w:szCs w:val="24"/>
        </w:rPr>
        <w:t>招标编号：</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 xml:space="preserve"> 标包：</w:t>
      </w:r>
      <w:r>
        <w:rPr>
          <w:rFonts w:hint="eastAsia" w:ascii="仿宋" w:hAnsi="仿宋" w:eastAsia="仿宋" w:cs="仿宋"/>
          <w:color w:val="000000"/>
          <w:szCs w:val="24"/>
          <w:u w:val="single"/>
        </w:rPr>
        <w:t>不划分</w:t>
      </w:r>
    </w:p>
    <w:tbl>
      <w:tblPr>
        <w:tblStyle w:val="34"/>
        <w:tblW w:w="83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95"/>
        <w:gridCol w:w="1221"/>
        <w:gridCol w:w="1965"/>
        <w:gridCol w:w="840"/>
        <w:gridCol w:w="1077"/>
        <w:gridCol w:w="113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26" w:hRule="atLeast"/>
          <w:jc w:val="center"/>
        </w:trPr>
        <w:tc>
          <w:tcPr>
            <w:tcW w:w="695" w:type="dxa"/>
            <w:vAlign w:val="center"/>
          </w:tcPr>
          <w:p>
            <w:pPr>
              <w:spacing w:line="56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序号</w:t>
            </w:r>
          </w:p>
        </w:tc>
        <w:tc>
          <w:tcPr>
            <w:tcW w:w="1221" w:type="dxa"/>
            <w:vAlign w:val="center"/>
          </w:tcPr>
          <w:p>
            <w:pPr>
              <w:spacing w:line="56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货物名称</w:t>
            </w:r>
          </w:p>
        </w:tc>
        <w:tc>
          <w:tcPr>
            <w:tcW w:w="1965" w:type="dxa"/>
            <w:vAlign w:val="center"/>
          </w:tcPr>
          <w:p>
            <w:pPr>
              <w:spacing w:line="56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招标文件条目号</w:t>
            </w:r>
          </w:p>
        </w:tc>
        <w:tc>
          <w:tcPr>
            <w:tcW w:w="840" w:type="dxa"/>
            <w:vAlign w:val="center"/>
          </w:tcPr>
          <w:p>
            <w:pPr>
              <w:spacing w:line="56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招标规格</w:t>
            </w:r>
          </w:p>
        </w:tc>
        <w:tc>
          <w:tcPr>
            <w:tcW w:w="1077" w:type="dxa"/>
            <w:vAlign w:val="center"/>
          </w:tcPr>
          <w:p>
            <w:pPr>
              <w:spacing w:line="56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投标规格</w:t>
            </w:r>
          </w:p>
        </w:tc>
        <w:tc>
          <w:tcPr>
            <w:tcW w:w="1134" w:type="dxa"/>
            <w:vAlign w:val="center"/>
          </w:tcPr>
          <w:p>
            <w:pPr>
              <w:spacing w:line="56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偏离</w:t>
            </w:r>
          </w:p>
        </w:tc>
        <w:tc>
          <w:tcPr>
            <w:tcW w:w="1418" w:type="dxa"/>
            <w:vAlign w:val="center"/>
          </w:tcPr>
          <w:p>
            <w:pPr>
              <w:spacing w:line="560" w:lineRule="exact"/>
              <w:ind w:firstLine="0" w:firstLineChars="0"/>
              <w:jc w:val="center"/>
              <w:rPr>
                <w:rFonts w:ascii="仿宋" w:hAnsi="仿宋" w:eastAsia="仿宋" w:cs="仿宋"/>
                <w:color w:val="000000"/>
                <w:szCs w:val="24"/>
              </w:rPr>
            </w:pPr>
            <w:r>
              <w:rPr>
                <w:rFonts w:hint="eastAsia" w:ascii="仿宋" w:hAnsi="仿宋" w:eastAsia="仿宋" w:cs="仿宋"/>
                <w:color w:val="000000"/>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695" w:type="dxa"/>
          </w:tcPr>
          <w:p>
            <w:pPr>
              <w:spacing w:after="120" w:line="560" w:lineRule="exact"/>
              <w:ind w:firstLine="480"/>
              <w:rPr>
                <w:rFonts w:ascii="仿宋" w:hAnsi="仿宋" w:eastAsia="仿宋" w:cs="仿宋"/>
                <w:color w:val="000000"/>
                <w:szCs w:val="24"/>
              </w:rPr>
            </w:pPr>
          </w:p>
        </w:tc>
        <w:tc>
          <w:tcPr>
            <w:tcW w:w="1221" w:type="dxa"/>
          </w:tcPr>
          <w:p>
            <w:pPr>
              <w:spacing w:after="120" w:line="560" w:lineRule="exact"/>
              <w:ind w:firstLine="480"/>
              <w:rPr>
                <w:rFonts w:ascii="仿宋" w:hAnsi="仿宋" w:eastAsia="仿宋" w:cs="仿宋"/>
                <w:color w:val="000000"/>
                <w:szCs w:val="24"/>
              </w:rPr>
            </w:pPr>
          </w:p>
        </w:tc>
        <w:tc>
          <w:tcPr>
            <w:tcW w:w="1965" w:type="dxa"/>
          </w:tcPr>
          <w:p>
            <w:pPr>
              <w:spacing w:after="120" w:line="560" w:lineRule="exact"/>
              <w:ind w:firstLine="480"/>
              <w:rPr>
                <w:rFonts w:ascii="仿宋" w:hAnsi="仿宋" w:eastAsia="仿宋" w:cs="仿宋"/>
                <w:color w:val="000000"/>
                <w:szCs w:val="24"/>
              </w:rPr>
            </w:pPr>
          </w:p>
        </w:tc>
        <w:tc>
          <w:tcPr>
            <w:tcW w:w="840" w:type="dxa"/>
          </w:tcPr>
          <w:p>
            <w:pPr>
              <w:spacing w:after="120" w:line="560" w:lineRule="exact"/>
              <w:ind w:firstLine="480"/>
              <w:rPr>
                <w:rFonts w:ascii="仿宋" w:hAnsi="仿宋" w:eastAsia="仿宋" w:cs="仿宋"/>
                <w:color w:val="000000"/>
                <w:szCs w:val="24"/>
              </w:rPr>
            </w:pPr>
          </w:p>
        </w:tc>
        <w:tc>
          <w:tcPr>
            <w:tcW w:w="1077" w:type="dxa"/>
          </w:tcPr>
          <w:p>
            <w:pPr>
              <w:spacing w:after="120" w:line="560" w:lineRule="exact"/>
              <w:ind w:firstLine="480"/>
              <w:rPr>
                <w:rFonts w:ascii="仿宋" w:hAnsi="仿宋" w:eastAsia="仿宋" w:cs="仿宋"/>
                <w:color w:val="000000"/>
                <w:szCs w:val="24"/>
              </w:rPr>
            </w:pPr>
          </w:p>
        </w:tc>
        <w:tc>
          <w:tcPr>
            <w:tcW w:w="1134" w:type="dxa"/>
          </w:tcPr>
          <w:p>
            <w:pPr>
              <w:spacing w:after="120" w:line="560" w:lineRule="exact"/>
              <w:ind w:firstLine="480"/>
              <w:rPr>
                <w:rFonts w:ascii="仿宋" w:hAnsi="仿宋" w:eastAsia="仿宋" w:cs="仿宋"/>
                <w:color w:val="000000"/>
                <w:szCs w:val="24"/>
              </w:rPr>
            </w:pPr>
          </w:p>
        </w:tc>
        <w:tc>
          <w:tcPr>
            <w:tcW w:w="1418" w:type="dxa"/>
          </w:tcPr>
          <w:p>
            <w:pPr>
              <w:spacing w:after="120" w:line="560" w:lineRule="exact"/>
              <w:ind w:firstLine="480"/>
              <w:rPr>
                <w:rFonts w:ascii="仿宋" w:hAnsi="仿宋" w:eastAsia="仿宋" w:cs="仿宋"/>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695" w:type="dxa"/>
          </w:tcPr>
          <w:p>
            <w:pPr>
              <w:spacing w:after="120" w:line="560" w:lineRule="exact"/>
              <w:ind w:firstLine="480"/>
              <w:rPr>
                <w:rFonts w:ascii="仿宋" w:hAnsi="仿宋" w:eastAsia="仿宋" w:cs="仿宋"/>
                <w:color w:val="000000"/>
                <w:szCs w:val="24"/>
              </w:rPr>
            </w:pPr>
          </w:p>
        </w:tc>
        <w:tc>
          <w:tcPr>
            <w:tcW w:w="1221" w:type="dxa"/>
          </w:tcPr>
          <w:p>
            <w:pPr>
              <w:spacing w:after="120" w:line="560" w:lineRule="exact"/>
              <w:ind w:firstLine="480"/>
              <w:rPr>
                <w:rFonts w:ascii="仿宋" w:hAnsi="仿宋" w:eastAsia="仿宋" w:cs="仿宋"/>
                <w:color w:val="000000"/>
                <w:szCs w:val="24"/>
              </w:rPr>
            </w:pPr>
          </w:p>
        </w:tc>
        <w:tc>
          <w:tcPr>
            <w:tcW w:w="1965" w:type="dxa"/>
          </w:tcPr>
          <w:p>
            <w:pPr>
              <w:spacing w:after="120" w:line="560" w:lineRule="exact"/>
              <w:ind w:firstLine="480"/>
              <w:rPr>
                <w:rFonts w:ascii="仿宋" w:hAnsi="仿宋" w:eastAsia="仿宋" w:cs="仿宋"/>
                <w:color w:val="000000"/>
                <w:szCs w:val="24"/>
              </w:rPr>
            </w:pPr>
          </w:p>
        </w:tc>
        <w:tc>
          <w:tcPr>
            <w:tcW w:w="840" w:type="dxa"/>
          </w:tcPr>
          <w:p>
            <w:pPr>
              <w:spacing w:after="120" w:line="560" w:lineRule="exact"/>
              <w:ind w:firstLine="480"/>
              <w:rPr>
                <w:rFonts w:ascii="仿宋" w:hAnsi="仿宋" w:eastAsia="仿宋" w:cs="仿宋"/>
                <w:color w:val="000000"/>
                <w:szCs w:val="24"/>
              </w:rPr>
            </w:pPr>
          </w:p>
        </w:tc>
        <w:tc>
          <w:tcPr>
            <w:tcW w:w="1077" w:type="dxa"/>
          </w:tcPr>
          <w:p>
            <w:pPr>
              <w:spacing w:after="120" w:line="560" w:lineRule="exact"/>
              <w:ind w:firstLine="480"/>
              <w:rPr>
                <w:rFonts w:ascii="仿宋" w:hAnsi="仿宋" w:eastAsia="仿宋" w:cs="仿宋"/>
                <w:color w:val="000000"/>
                <w:szCs w:val="24"/>
              </w:rPr>
            </w:pPr>
          </w:p>
        </w:tc>
        <w:tc>
          <w:tcPr>
            <w:tcW w:w="1134" w:type="dxa"/>
          </w:tcPr>
          <w:p>
            <w:pPr>
              <w:spacing w:after="120" w:line="560" w:lineRule="exact"/>
              <w:ind w:firstLine="480"/>
              <w:rPr>
                <w:rFonts w:ascii="仿宋" w:hAnsi="仿宋" w:eastAsia="仿宋" w:cs="仿宋"/>
                <w:color w:val="000000"/>
                <w:szCs w:val="24"/>
              </w:rPr>
            </w:pPr>
          </w:p>
        </w:tc>
        <w:tc>
          <w:tcPr>
            <w:tcW w:w="1418" w:type="dxa"/>
          </w:tcPr>
          <w:p>
            <w:pPr>
              <w:spacing w:after="120" w:line="560" w:lineRule="exact"/>
              <w:ind w:firstLine="480"/>
              <w:rPr>
                <w:rFonts w:ascii="仿宋" w:hAnsi="仿宋" w:eastAsia="仿宋" w:cs="仿宋"/>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695" w:type="dxa"/>
          </w:tcPr>
          <w:p>
            <w:pPr>
              <w:spacing w:after="120" w:line="560" w:lineRule="exact"/>
              <w:ind w:firstLine="480"/>
              <w:rPr>
                <w:rFonts w:ascii="仿宋" w:hAnsi="仿宋" w:eastAsia="仿宋" w:cs="仿宋"/>
                <w:color w:val="000000"/>
                <w:szCs w:val="24"/>
              </w:rPr>
            </w:pPr>
          </w:p>
        </w:tc>
        <w:tc>
          <w:tcPr>
            <w:tcW w:w="1221" w:type="dxa"/>
          </w:tcPr>
          <w:p>
            <w:pPr>
              <w:spacing w:after="120" w:line="560" w:lineRule="exact"/>
              <w:ind w:firstLine="480"/>
              <w:rPr>
                <w:rFonts w:ascii="仿宋" w:hAnsi="仿宋" w:eastAsia="仿宋" w:cs="仿宋"/>
                <w:color w:val="000000"/>
                <w:szCs w:val="24"/>
              </w:rPr>
            </w:pPr>
          </w:p>
        </w:tc>
        <w:tc>
          <w:tcPr>
            <w:tcW w:w="1965" w:type="dxa"/>
          </w:tcPr>
          <w:p>
            <w:pPr>
              <w:spacing w:after="120" w:line="560" w:lineRule="exact"/>
              <w:ind w:firstLine="480"/>
              <w:rPr>
                <w:rFonts w:ascii="仿宋" w:hAnsi="仿宋" w:eastAsia="仿宋" w:cs="仿宋"/>
                <w:color w:val="000000"/>
                <w:szCs w:val="24"/>
              </w:rPr>
            </w:pPr>
          </w:p>
        </w:tc>
        <w:tc>
          <w:tcPr>
            <w:tcW w:w="840" w:type="dxa"/>
          </w:tcPr>
          <w:p>
            <w:pPr>
              <w:spacing w:after="120" w:line="560" w:lineRule="exact"/>
              <w:ind w:firstLine="480"/>
              <w:rPr>
                <w:rFonts w:ascii="仿宋" w:hAnsi="仿宋" w:eastAsia="仿宋" w:cs="仿宋"/>
                <w:color w:val="000000"/>
                <w:szCs w:val="24"/>
              </w:rPr>
            </w:pPr>
          </w:p>
        </w:tc>
        <w:tc>
          <w:tcPr>
            <w:tcW w:w="1077" w:type="dxa"/>
          </w:tcPr>
          <w:p>
            <w:pPr>
              <w:spacing w:after="120" w:line="560" w:lineRule="exact"/>
              <w:ind w:firstLine="480"/>
              <w:rPr>
                <w:rFonts w:ascii="仿宋" w:hAnsi="仿宋" w:eastAsia="仿宋" w:cs="仿宋"/>
                <w:color w:val="000000"/>
                <w:szCs w:val="24"/>
              </w:rPr>
            </w:pPr>
          </w:p>
        </w:tc>
        <w:tc>
          <w:tcPr>
            <w:tcW w:w="1134" w:type="dxa"/>
          </w:tcPr>
          <w:p>
            <w:pPr>
              <w:spacing w:after="120" w:line="560" w:lineRule="exact"/>
              <w:ind w:firstLine="480"/>
              <w:rPr>
                <w:rFonts w:ascii="仿宋" w:hAnsi="仿宋" w:eastAsia="仿宋" w:cs="仿宋"/>
                <w:color w:val="000000"/>
                <w:szCs w:val="24"/>
              </w:rPr>
            </w:pPr>
          </w:p>
        </w:tc>
        <w:tc>
          <w:tcPr>
            <w:tcW w:w="1418" w:type="dxa"/>
          </w:tcPr>
          <w:p>
            <w:pPr>
              <w:spacing w:after="120" w:line="560" w:lineRule="exact"/>
              <w:ind w:firstLine="480"/>
              <w:rPr>
                <w:rFonts w:ascii="仿宋" w:hAnsi="仿宋" w:eastAsia="仿宋" w:cs="仿宋"/>
                <w:color w:val="000000"/>
                <w:szCs w:val="24"/>
              </w:rPr>
            </w:pPr>
          </w:p>
        </w:tc>
      </w:tr>
    </w:tbl>
    <w:p>
      <w:pPr>
        <w:spacing w:after="120" w:line="560" w:lineRule="exact"/>
        <w:ind w:firstLine="480"/>
        <w:jc w:val="left"/>
        <w:rPr>
          <w:rFonts w:ascii="仿宋" w:hAnsi="仿宋" w:eastAsia="仿宋" w:cs="仿宋"/>
          <w:color w:val="000000"/>
          <w:szCs w:val="24"/>
        </w:rPr>
      </w:pPr>
      <w:r>
        <w:rPr>
          <w:rFonts w:hint="eastAsia" w:ascii="仿宋" w:hAnsi="仿宋" w:eastAsia="仿宋" w:cs="仿宋"/>
          <w:color w:val="000000"/>
          <w:szCs w:val="24"/>
        </w:rPr>
        <w:t>本表是对招标文件第四部分《项目需求》的点对点应答，投标人可自行设定格式。</w:t>
      </w:r>
    </w:p>
    <w:p>
      <w:pPr>
        <w:spacing w:after="120" w:line="560" w:lineRule="exact"/>
        <w:ind w:firstLine="480"/>
        <w:jc w:val="left"/>
        <w:rPr>
          <w:rFonts w:ascii="仿宋" w:hAnsi="仿宋" w:eastAsia="仿宋" w:cs="仿宋"/>
          <w:color w:val="000000"/>
          <w:szCs w:val="24"/>
        </w:rPr>
      </w:pPr>
      <w:r>
        <w:rPr>
          <w:rFonts w:hint="eastAsia" w:ascii="仿宋" w:hAnsi="仿宋" w:eastAsia="仿宋" w:cs="仿宋"/>
          <w:color w:val="000000"/>
          <w:szCs w:val="24"/>
        </w:rPr>
        <w:t>首先对实现或满足程度明确作出“满足”、“不满足”，或 “部分满足”的应答、不能出现“了解”、“清楚”等其他字样，然后作出具体、详细的说明，不能仅仅应答“满足”、“不满足”，或 “部分满足”。</w:t>
      </w:r>
    </w:p>
    <w:p>
      <w:pPr>
        <w:spacing w:line="560" w:lineRule="exact"/>
        <w:ind w:firstLine="0" w:firstLineChars="0"/>
        <w:rPr>
          <w:rFonts w:ascii="仿宋" w:hAnsi="仿宋" w:eastAsia="仿宋" w:cs="仿宋"/>
          <w:color w:val="000000"/>
          <w:szCs w:val="24"/>
        </w:rPr>
      </w:pPr>
    </w:p>
    <w:p>
      <w:pPr>
        <w:spacing w:line="560" w:lineRule="exact"/>
        <w:ind w:firstLine="480"/>
        <w:jc w:val="right"/>
        <w:rPr>
          <w:rFonts w:ascii="仿宋" w:hAnsi="仿宋" w:eastAsia="仿宋" w:cs="仿宋"/>
          <w:color w:val="000000"/>
          <w:szCs w:val="24"/>
        </w:rPr>
      </w:pPr>
      <w:r>
        <w:rPr>
          <w:rFonts w:hint="eastAsia" w:ascii="仿宋" w:hAnsi="仿宋" w:eastAsia="仿宋" w:cs="仿宋"/>
          <w:color w:val="000000"/>
          <w:szCs w:val="24"/>
        </w:rPr>
        <w:t>投标人名称：</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（盖单位章）</w:t>
      </w:r>
    </w:p>
    <w:p>
      <w:pPr>
        <w:spacing w:line="560" w:lineRule="exact"/>
        <w:ind w:left="3392" w:firstLine="600" w:firstLineChars="250"/>
        <w:jc w:val="right"/>
        <w:rPr>
          <w:rFonts w:ascii="仿宋" w:hAnsi="仿宋" w:eastAsia="仿宋" w:cs="仿宋"/>
          <w:color w:val="000000"/>
          <w:szCs w:val="24"/>
        </w:rPr>
      </w:pPr>
      <w:r>
        <w:rPr>
          <w:rFonts w:hint="eastAsia" w:ascii="仿宋" w:hAnsi="仿宋" w:eastAsia="仿宋" w:cs="仿宋"/>
          <w:color w:val="000000"/>
          <w:szCs w:val="24"/>
        </w:rPr>
        <w:t>法定代表人或其委托代理人：</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（签字）</w:t>
      </w:r>
    </w:p>
    <w:p>
      <w:pPr>
        <w:spacing w:line="560" w:lineRule="exact"/>
        <w:ind w:firstLine="480"/>
        <w:jc w:val="right"/>
        <w:rPr>
          <w:rFonts w:ascii="仿宋" w:hAnsi="仿宋" w:eastAsia="仿宋" w:cs="仿宋"/>
          <w:color w:val="000000"/>
          <w:szCs w:val="24"/>
        </w:rPr>
      </w:pP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年</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月</w:t>
      </w:r>
      <w:r>
        <w:rPr>
          <w:rFonts w:hint="eastAsia" w:ascii="仿宋" w:hAnsi="仿宋" w:eastAsia="仿宋" w:cs="仿宋"/>
          <w:color w:val="000000"/>
          <w:szCs w:val="24"/>
          <w:u w:val="single"/>
        </w:rPr>
        <w:t xml:space="preserve">       </w:t>
      </w:r>
      <w:r>
        <w:rPr>
          <w:rFonts w:hint="eastAsia" w:ascii="仿宋" w:hAnsi="仿宋" w:eastAsia="仿宋" w:cs="仿宋"/>
          <w:color w:val="000000"/>
          <w:szCs w:val="24"/>
        </w:rPr>
        <w:t>日</w:t>
      </w:r>
    </w:p>
    <w:p>
      <w:pPr>
        <w:spacing w:line="560" w:lineRule="exact"/>
        <w:ind w:firstLine="480"/>
        <w:jc w:val="right"/>
        <w:rPr>
          <w:rFonts w:ascii="仿宋" w:hAnsi="仿宋" w:eastAsia="仿宋" w:cs="仿宋"/>
          <w:color w:val="000000"/>
          <w:szCs w:val="24"/>
        </w:rPr>
      </w:pPr>
    </w:p>
    <w:p>
      <w:pPr>
        <w:spacing w:line="560" w:lineRule="exact"/>
        <w:ind w:firstLine="480"/>
        <w:jc w:val="right"/>
        <w:rPr>
          <w:rFonts w:ascii="仿宋" w:hAnsi="仿宋" w:eastAsia="仿宋" w:cs="仿宋"/>
          <w:color w:val="000000"/>
          <w:szCs w:val="24"/>
        </w:rPr>
      </w:pPr>
    </w:p>
    <w:p>
      <w:pPr>
        <w:spacing w:line="560" w:lineRule="exact"/>
        <w:ind w:firstLine="480"/>
        <w:jc w:val="right"/>
        <w:rPr>
          <w:rFonts w:ascii="仿宋" w:hAnsi="仿宋" w:eastAsia="仿宋" w:cs="仿宋"/>
          <w:color w:val="000000"/>
          <w:szCs w:val="24"/>
        </w:rPr>
      </w:pPr>
    </w:p>
    <w:p>
      <w:pPr>
        <w:spacing w:line="560" w:lineRule="exact"/>
        <w:ind w:firstLine="480"/>
        <w:jc w:val="right"/>
        <w:rPr>
          <w:rFonts w:ascii="仿宋" w:hAnsi="仿宋" w:eastAsia="仿宋" w:cs="仿宋"/>
          <w:color w:val="000000"/>
          <w:szCs w:val="24"/>
        </w:rPr>
      </w:pPr>
    </w:p>
    <w:p>
      <w:pPr>
        <w:pStyle w:val="2"/>
        <w:rPr>
          <w:rFonts w:hint="eastAsia" w:ascii="方正小标宋简体" w:eastAsia="方正小标宋简体"/>
          <w:b w:val="0"/>
          <w:sz w:val="44"/>
          <w:szCs w:val="44"/>
        </w:rPr>
      </w:pPr>
      <w:bookmarkStart w:id="175" w:name="_Toc8172"/>
      <w:r>
        <w:rPr>
          <w:rFonts w:hint="eastAsia" w:ascii="方正小标宋简体" w:eastAsia="方正小标宋简体"/>
          <w:b w:val="0"/>
          <w:sz w:val="44"/>
          <w:szCs w:val="44"/>
        </w:rPr>
        <w:t>采购合同</w:t>
      </w:r>
      <w:bookmarkEnd w:id="175"/>
    </w:p>
    <w:p>
      <w:pPr>
        <w:pStyle w:val="80"/>
        <w:spacing w:line="560" w:lineRule="exact"/>
        <w:ind w:firstLine="880"/>
        <w:jc w:val="both"/>
        <w:rPr>
          <w:rFonts w:ascii="仿宋_GB2312" w:hAnsi="仿宋_GB2312" w:eastAsia="仿宋_GB2312" w:cs="仿宋_GB2312"/>
          <w:bCs w:val="0"/>
          <w:spacing w:val="0"/>
          <w:kern w:val="2"/>
          <w:sz w:val="32"/>
          <w:szCs w:val="32"/>
        </w:rPr>
      </w:pPr>
      <w:r>
        <w:rPr>
          <w:rFonts w:hint="eastAsia" w:ascii="方正小标宋简体" w:hAnsi="方正小标宋简体" w:eastAsia="方正小标宋简体" w:cs="方正小标宋简体"/>
          <w:spacing w:val="0"/>
          <w:sz w:val="44"/>
          <w:szCs w:val="44"/>
        </w:rPr>
        <w:t xml:space="preserve"> </w:t>
      </w:r>
      <w:r>
        <w:rPr>
          <w:rFonts w:hint="eastAsia" w:ascii="仿宋_GB2312" w:hAnsi="仿宋_GB2312" w:eastAsia="仿宋_GB2312" w:cs="仿宋_GB2312"/>
          <w:bCs w:val="0"/>
          <w:spacing w:val="0"/>
          <w:kern w:val="2"/>
          <w:sz w:val="32"/>
          <w:szCs w:val="32"/>
        </w:rPr>
        <w:t>（以招标人与中标人协商结果为最终合同）</w:t>
      </w:r>
    </w:p>
    <w:p>
      <w:pPr>
        <w:pStyle w:val="80"/>
        <w:spacing w:line="560" w:lineRule="exact"/>
        <w:ind w:firstLine="0" w:firstLineChars="0"/>
        <w:jc w:val="both"/>
        <w:rPr>
          <w:rFonts w:ascii="仿宋_GB2312" w:hAnsi="仿宋_GB2312" w:eastAsia="仿宋_GB2312" w:cs="仿宋_GB2312"/>
          <w:b/>
          <w:spacing w:val="0"/>
          <w:kern w:val="2"/>
          <w:sz w:val="32"/>
          <w:szCs w:val="32"/>
        </w:rPr>
      </w:pPr>
    </w:p>
    <w:p>
      <w:pPr>
        <w:spacing w:line="560" w:lineRule="exact"/>
        <w:ind w:firstLine="643"/>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思明控股统一协同办公系统软件产品及实施服务购买合同</w:t>
      </w:r>
    </w:p>
    <w:p>
      <w:pPr>
        <w:spacing w:line="560" w:lineRule="exact"/>
        <w:ind w:firstLine="5760" w:firstLineChars="1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合同编号</w:t>
      </w:r>
    </w:p>
    <w:p>
      <w:pPr>
        <w:spacing w:line="560" w:lineRule="exact"/>
        <w:ind w:firstLine="640"/>
        <w:rPr>
          <w:rFonts w:ascii="仿宋_GB2312" w:hAnsi="仿宋_GB2312" w:eastAsia="仿宋_GB2312" w:cs="仿宋_GB2312"/>
          <w:sz w:val="32"/>
          <w:szCs w:val="32"/>
        </w:rPr>
      </w:pPr>
    </w:p>
    <w:p>
      <w:pPr>
        <w:spacing w:line="520" w:lineRule="exact"/>
        <w:ind w:firstLine="480"/>
        <w:rPr>
          <w:rFonts w:ascii="仿宋" w:hAnsi="仿宋" w:eastAsia="仿宋" w:cs="仿宋"/>
          <w:szCs w:val="24"/>
        </w:rPr>
      </w:pPr>
      <w:r>
        <w:rPr>
          <w:rFonts w:hint="eastAsia" w:ascii="仿宋" w:hAnsi="仿宋" w:eastAsia="仿宋" w:cs="仿宋"/>
          <w:szCs w:val="24"/>
        </w:rPr>
        <w:t>甲方：厦门开元数字科技有限公司（以下简称“甲方”）</w:t>
      </w:r>
    </w:p>
    <w:p>
      <w:pPr>
        <w:spacing w:line="520" w:lineRule="exact"/>
        <w:ind w:firstLine="480"/>
        <w:rPr>
          <w:rFonts w:ascii="仿宋" w:hAnsi="仿宋" w:eastAsia="仿宋" w:cs="仿宋"/>
          <w:szCs w:val="24"/>
        </w:rPr>
      </w:pPr>
      <w:r>
        <w:rPr>
          <w:rFonts w:hint="eastAsia" w:ascii="仿宋" w:hAnsi="仿宋" w:eastAsia="仿宋" w:cs="仿宋"/>
          <w:szCs w:val="24"/>
        </w:rPr>
        <w:t>乙方：                        （以下简称“乙方”）</w:t>
      </w:r>
    </w:p>
    <w:p>
      <w:pPr>
        <w:spacing w:line="520" w:lineRule="exact"/>
        <w:ind w:firstLine="480"/>
        <w:rPr>
          <w:rFonts w:ascii="仿宋" w:hAnsi="仿宋" w:eastAsia="仿宋" w:cs="仿宋"/>
          <w:szCs w:val="24"/>
        </w:rPr>
      </w:pPr>
      <w:r>
        <w:rPr>
          <w:rFonts w:hint="eastAsia" w:ascii="仿宋" w:hAnsi="仿宋" w:eastAsia="仿宋" w:cs="仿宋"/>
          <w:szCs w:val="24"/>
        </w:rPr>
        <w:t xml:space="preserve">根据国家知识产权及软件管理的有关法律法规的规定，甲乙双方经友好协商，本着平等、自愿、公平和诚实守信的原则，就甲方委托乙方购买协同办公系统软件产品及实施服务供甲方使用的双方权利、义务，以及相关的法律事宜达成如下： </w:t>
      </w:r>
    </w:p>
    <w:p>
      <w:pPr>
        <w:spacing w:line="520" w:lineRule="exact"/>
        <w:ind w:firstLine="482"/>
        <w:rPr>
          <w:rFonts w:ascii="仿宋" w:hAnsi="仿宋" w:eastAsia="仿宋" w:cs="仿宋"/>
          <w:b/>
          <w:bCs/>
          <w:szCs w:val="24"/>
        </w:rPr>
      </w:pPr>
      <w:r>
        <w:rPr>
          <w:rFonts w:hint="eastAsia" w:ascii="仿宋" w:hAnsi="仿宋" w:eastAsia="仿宋" w:cs="仿宋"/>
          <w:b/>
          <w:bCs/>
          <w:szCs w:val="24"/>
        </w:rPr>
        <w:t>一、名词定义</w:t>
      </w:r>
    </w:p>
    <w:p>
      <w:pPr>
        <w:tabs>
          <w:tab w:val="left" w:pos="54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本合同所有的有关术语，特定义如下：</w:t>
      </w:r>
    </w:p>
    <w:p>
      <w:pPr>
        <w:numPr>
          <w:ilvl w:val="0"/>
          <w:numId w:val="27"/>
        </w:numPr>
        <w:tabs>
          <w:tab w:val="left" w:pos="0"/>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“合同”是指本合同及根据本合同所签订的所有附件和补充协议。</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“甲方”是指协同办公软件的使用许可购买以及使用方，“乙方”是指协同办公软件的提供及服务方。</w:t>
      </w:r>
    </w:p>
    <w:p>
      <w:pPr>
        <w:numPr>
          <w:ilvl w:val="0"/>
          <w:numId w:val="27"/>
        </w:numPr>
        <w:tabs>
          <w:tab w:val="left" w:pos="0"/>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“指定硬件服务器”是指安装于甲方的办公室的一台计算机。</w:t>
      </w:r>
    </w:p>
    <w:p>
      <w:pPr>
        <w:numPr>
          <w:ilvl w:val="0"/>
          <w:numId w:val="27"/>
        </w:numPr>
        <w:tabs>
          <w:tab w:val="left" w:pos="0"/>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“协同办公系统”是指甲方委托乙方购买统一协同办公系统软件产品。</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“许可程序”是指可执行于指定CPU的许可信息处理程序。它由乙方向甲方提供产品的时候由乙方提供。</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许可资料”是指与许可程序有关的任何资料，它由乙方所有并随同许可程序许可给甲方使用，该资料包括合同中所指明的文件及以书面形式特别说明的其他文件、用户手册以及其他乙方提供的任何资料均作为保密内容或乙方的专属产权，交付甲方使用。</w:t>
      </w:r>
    </w:p>
    <w:p>
      <w:pPr>
        <w:numPr>
          <w:ilvl w:val="0"/>
          <w:numId w:val="27"/>
        </w:numPr>
        <w:tabs>
          <w:tab w:val="left" w:pos="0"/>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“用户许可证”是指在合同所规定的范围内可以使用乙方软件的用户账号数量。</w:t>
      </w:r>
    </w:p>
    <w:p>
      <w:pPr>
        <w:numPr>
          <w:ilvl w:val="0"/>
          <w:numId w:val="27"/>
        </w:numPr>
        <w:tabs>
          <w:tab w:val="left" w:pos="54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“小版本的升级”是指版本号为在n.X.X范围内的n.X.X产品升级(n为大版本序号：如1、2、3等数字，x为一级和二级小版本序号：如1、2、3等数字)。</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“大版本的升级”是指由n. X升级到(n+1). X的产品升级(n为大版本序号：如1、2、3等数字，x为一级和二级小版本序号：如1、2、3等数字)。</w:t>
      </w:r>
    </w:p>
    <w:p>
      <w:pPr>
        <w:numPr>
          <w:ilvl w:val="0"/>
          <w:numId w:val="27"/>
        </w:numPr>
        <w:tabs>
          <w:tab w:val="left" w:pos="54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“产品交付”是指乙方将授权使用许可证、产品安装光盘、使用说明(电子版)交付到甲方相关人员。</w:t>
      </w:r>
    </w:p>
    <w:p>
      <w:pPr>
        <w:numPr>
          <w:ilvl w:val="0"/>
          <w:numId w:val="27"/>
        </w:numPr>
        <w:tabs>
          <w:tab w:val="left" w:pos="540"/>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“保密信息”特指为上述目的由本合同一方 (透露方)向另一方 (获取方)透露的，并且在透露时表明“保密”或“专有”的，包括但不仅限于有关合作项目的公司资料、业务信息、财务数据、技术资料、功能和特性描述等图表、书面资料或者以任何其他形式的媒介或载体所传递的信息，无论该信息是有形的还是无形的、是书面的还是口头的。</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实施服务”是指基于乙方标准产品结合甲方的经营发展状况，将许可软件应用于甲方管理过程中的专业服务。项目实施过程中，乙方的实施服务人员将指导甲方在乙方标准产品基础上制定合理的需求、建立数据准备方案、协助工作流程规划，并协助甲方整理必要的实施文档。</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“培训”是指乙方为甲方提供基于乙方标准产品的系统维护培训、使用操作培训。</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“二次开发”是指被甲方在乙方提供的标准产品功能上要求乙方根据甲方的需求对软件的功能性修订、精化或修改，或者是增加该软件的使用范围、功能或其他有用特性所进行的任何代码改动工作称为二次开发。</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“软件安装完成”是指软件的应用程序被复制到指定的硬件服务器上，并完成了初始化设置。但不包括任何针对甲方的设置。</w:t>
      </w:r>
    </w:p>
    <w:p>
      <w:pPr>
        <w:numPr>
          <w:ilvl w:val="0"/>
          <w:numId w:val="27"/>
        </w:numPr>
        <w:tabs>
          <w:tab w:val="left" w:pos="540"/>
          <w:tab w:val="left" w:pos="837"/>
          <w:tab w:val="left" w:pos="1080"/>
        </w:tabs>
        <w:adjustRightInd w:val="0"/>
        <w:snapToGrid w:val="0"/>
        <w:spacing w:before="190" w:beforeLines="50" w:after="190" w:afterLines="50" w:line="520" w:lineRule="exact"/>
        <w:ind w:left="615" w:hanging="435" w:firstLineChars="0"/>
        <w:rPr>
          <w:rFonts w:ascii="仿宋" w:hAnsi="仿宋" w:eastAsia="仿宋" w:cs="仿宋"/>
          <w:szCs w:val="24"/>
        </w:rPr>
      </w:pPr>
      <w:r>
        <w:rPr>
          <w:rFonts w:hint="eastAsia" w:ascii="仿宋" w:hAnsi="仿宋" w:eastAsia="仿宋" w:cs="仿宋"/>
          <w:szCs w:val="24"/>
        </w:rPr>
        <w:t>“实施服务完成”是指乙方基于乙方提供的软件产品，为甲方提供了产品的安装，指导与协助甲方人员完成系统标准功能可实现范围内的搭建与需求配置，并提供了合同规定的培训服务。</w:t>
      </w:r>
    </w:p>
    <w:p>
      <w:pPr>
        <w:spacing w:line="520" w:lineRule="exact"/>
        <w:ind w:firstLine="482"/>
        <w:rPr>
          <w:rFonts w:ascii="仿宋" w:hAnsi="仿宋" w:eastAsia="仿宋" w:cs="仿宋"/>
          <w:b/>
          <w:bCs/>
          <w:szCs w:val="24"/>
        </w:rPr>
      </w:pPr>
      <w:r>
        <w:rPr>
          <w:rFonts w:hint="eastAsia" w:ascii="仿宋" w:hAnsi="仿宋" w:eastAsia="仿宋" w:cs="仿宋"/>
          <w:b/>
          <w:bCs/>
          <w:szCs w:val="24"/>
        </w:rPr>
        <w:t>二、授予使用许可权</w:t>
      </w:r>
    </w:p>
    <w:p>
      <w:pPr>
        <w:pStyle w:val="15"/>
        <w:numPr>
          <w:ilvl w:val="0"/>
          <w:numId w:val="28"/>
        </w:numPr>
        <w:spacing w:before="120" w:line="520" w:lineRule="exact"/>
        <w:ind w:left="544" w:leftChars="0" w:hanging="544" w:hangingChars="227"/>
        <w:rPr>
          <w:rFonts w:ascii="仿宋" w:hAnsi="仿宋" w:eastAsia="仿宋" w:cs="仿宋"/>
          <w:szCs w:val="24"/>
        </w:rPr>
      </w:pPr>
      <w:r>
        <w:rPr>
          <w:rFonts w:hint="eastAsia" w:ascii="仿宋" w:hAnsi="仿宋" w:eastAsia="仿宋" w:cs="仿宋"/>
          <w:szCs w:val="24"/>
        </w:rPr>
        <w:t>根据本合同规定，乙方同意授权甲方使用该软件，甲方同意接受一个不可转让的非独占的使用许可，准许被授权人员使用该许可软件，上述使用仅限于甲方</w:t>
      </w:r>
      <w:r>
        <w:rPr>
          <w:rFonts w:hint="eastAsia" w:ascii="仿宋" w:hAnsi="仿宋" w:eastAsia="仿宋" w:cs="仿宋"/>
          <w:szCs w:val="24"/>
          <w:lang w:eastAsia="zh-Hans"/>
        </w:rPr>
        <w:t>及甲方关联企业</w:t>
      </w:r>
      <w:r>
        <w:rPr>
          <w:rFonts w:hint="eastAsia" w:ascii="仿宋" w:hAnsi="仿宋" w:eastAsia="仿宋" w:cs="仿宋"/>
          <w:szCs w:val="24"/>
        </w:rPr>
        <w:t>内部使用</w:t>
      </w:r>
      <w:r>
        <w:rPr>
          <w:rFonts w:hint="eastAsia" w:ascii="仿宋" w:hAnsi="仿宋" w:eastAsia="仿宋" w:cs="仿宋"/>
          <w:szCs w:val="24"/>
          <w:lang w:eastAsia="zh-Hans"/>
        </w:rPr>
        <w:t>及</w:t>
      </w:r>
      <w:r>
        <w:rPr>
          <w:rFonts w:hint="eastAsia" w:ascii="仿宋" w:hAnsi="仿宋" w:eastAsia="仿宋" w:cs="仿宋"/>
          <w:szCs w:val="24"/>
        </w:rPr>
        <w:t>提供信息服务。除上述规定外的任何第三方无权使用该许可软件或其中任何一项功能。</w:t>
      </w:r>
    </w:p>
    <w:p>
      <w:pPr>
        <w:pStyle w:val="15"/>
        <w:numPr>
          <w:ilvl w:val="0"/>
          <w:numId w:val="28"/>
        </w:numPr>
        <w:spacing w:before="120" w:line="520" w:lineRule="exact"/>
        <w:ind w:left="544" w:leftChars="0" w:hanging="544" w:hangingChars="227"/>
        <w:rPr>
          <w:rFonts w:ascii="仿宋" w:hAnsi="仿宋" w:eastAsia="仿宋" w:cs="仿宋"/>
          <w:szCs w:val="24"/>
        </w:rPr>
      </w:pPr>
      <w:r>
        <w:rPr>
          <w:rFonts w:hint="eastAsia" w:ascii="仿宋" w:hAnsi="仿宋" w:eastAsia="仿宋" w:cs="仿宋"/>
          <w:szCs w:val="24"/>
        </w:rPr>
        <w:t>甲方必须根据与乙方约定的乙方许可的用户使用数量在指定的范围内使用该软件。如甲方需要增加用户许可并超出本合同约定的数量，应与乙方协商一致后，另签订补充协议。该补充协议将作为本合同的附件。</w:t>
      </w:r>
      <w:bookmarkStart w:id="176" w:name="_Toc334720991"/>
      <w:bookmarkStart w:id="177" w:name="_Toc334721011"/>
      <w:bookmarkStart w:id="178" w:name="_Toc334720965"/>
    </w:p>
    <w:p>
      <w:pPr>
        <w:spacing w:line="520" w:lineRule="exact"/>
        <w:ind w:firstLine="482"/>
        <w:rPr>
          <w:rFonts w:ascii="仿宋" w:hAnsi="仿宋" w:eastAsia="仿宋" w:cs="仿宋"/>
          <w:b/>
          <w:bCs/>
          <w:szCs w:val="24"/>
        </w:rPr>
      </w:pPr>
      <w:r>
        <w:rPr>
          <w:rFonts w:hint="eastAsia" w:ascii="仿宋" w:hAnsi="仿宋" w:eastAsia="仿宋" w:cs="仿宋"/>
          <w:b/>
          <w:bCs/>
          <w:szCs w:val="24"/>
        </w:rPr>
        <w:t>三、产品交付</w:t>
      </w:r>
      <w:bookmarkEnd w:id="176"/>
      <w:bookmarkEnd w:id="177"/>
      <w:bookmarkEnd w:id="178"/>
    </w:p>
    <w:p>
      <w:pPr>
        <w:numPr>
          <w:ilvl w:val="0"/>
          <w:numId w:val="29"/>
        </w:numPr>
        <w:tabs>
          <w:tab w:val="left" w:pos="360"/>
        </w:tabs>
        <w:spacing w:before="190" w:beforeLines="50" w:after="190" w:afterLines="50" w:line="520" w:lineRule="exact"/>
        <w:ind w:left="545" w:hanging="544" w:hangingChars="227"/>
        <w:rPr>
          <w:rFonts w:ascii="仿宋" w:hAnsi="仿宋" w:eastAsia="仿宋" w:cs="仿宋"/>
          <w:szCs w:val="24"/>
        </w:rPr>
      </w:pPr>
      <w:r>
        <w:rPr>
          <w:rFonts w:hint="eastAsia" w:ascii="仿宋" w:hAnsi="仿宋" w:eastAsia="仿宋" w:cs="仿宋"/>
          <w:szCs w:val="24"/>
        </w:rPr>
        <w:t>合同交付内容：统一协同办公系统软件</w:t>
      </w:r>
    </w:p>
    <w:p>
      <w:pPr>
        <w:numPr>
          <w:ilvl w:val="0"/>
          <w:numId w:val="29"/>
        </w:numPr>
        <w:tabs>
          <w:tab w:val="left" w:pos="360"/>
        </w:tabs>
        <w:spacing w:before="190" w:beforeLines="50" w:after="190" w:afterLines="50" w:line="520" w:lineRule="exact"/>
        <w:ind w:left="545" w:hanging="544" w:hangingChars="227"/>
        <w:rPr>
          <w:rFonts w:ascii="仿宋" w:hAnsi="仿宋" w:eastAsia="仿宋" w:cs="仿宋"/>
          <w:szCs w:val="24"/>
        </w:rPr>
      </w:pPr>
      <w:r>
        <w:rPr>
          <w:rFonts w:hint="eastAsia" w:ascii="仿宋" w:hAnsi="仿宋" w:eastAsia="仿宋" w:cs="仿宋"/>
          <w:szCs w:val="24"/>
        </w:rPr>
        <w:t>交付地点：</w:t>
      </w:r>
      <w:bookmarkStart w:id="179" w:name="_Toc329871841"/>
      <w:bookmarkStart w:id="180" w:name="_Toc334720966"/>
      <w:bookmarkStart w:id="181" w:name="_Toc334720992"/>
      <w:bookmarkStart w:id="182" w:name="_Toc89944964"/>
      <w:bookmarkStart w:id="183" w:name="_Toc323245322"/>
      <w:bookmarkStart w:id="184" w:name="_Toc334721012"/>
      <w:r>
        <w:rPr>
          <w:rFonts w:hint="eastAsia" w:ascii="仿宋" w:hAnsi="仿宋" w:eastAsia="仿宋" w:cs="仿宋"/>
          <w:szCs w:val="24"/>
        </w:rPr>
        <w:t>甲方指定的交付地点</w:t>
      </w:r>
    </w:p>
    <w:p>
      <w:pPr>
        <w:spacing w:line="520" w:lineRule="exact"/>
        <w:ind w:firstLine="482"/>
        <w:rPr>
          <w:rFonts w:ascii="仿宋" w:hAnsi="仿宋" w:eastAsia="仿宋" w:cs="仿宋"/>
          <w:b/>
          <w:bCs/>
          <w:szCs w:val="24"/>
        </w:rPr>
      </w:pPr>
      <w:r>
        <w:rPr>
          <w:rFonts w:hint="eastAsia" w:ascii="仿宋" w:hAnsi="仿宋" w:eastAsia="仿宋" w:cs="仿宋"/>
          <w:b/>
          <w:bCs/>
          <w:szCs w:val="24"/>
        </w:rPr>
        <w:t>四、双方的权利与义务</w:t>
      </w:r>
      <w:bookmarkEnd w:id="179"/>
      <w:bookmarkEnd w:id="180"/>
      <w:bookmarkEnd w:id="181"/>
      <w:bookmarkEnd w:id="182"/>
      <w:bookmarkEnd w:id="183"/>
      <w:bookmarkEnd w:id="184"/>
    </w:p>
    <w:p>
      <w:pPr>
        <w:numPr>
          <w:ilvl w:val="0"/>
          <w:numId w:val="30"/>
        </w:numPr>
        <w:tabs>
          <w:tab w:val="left" w:pos="0"/>
          <w:tab w:val="left" w:pos="360"/>
        </w:tabs>
        <w:adjustRightInd w:val="0"/>
        <w:snapToGrid w:val="0"/>
        <w:spacing w:before="190" w:beforeLines="50" w:after="190" w:afterLines="50" w:line="520" w:lineRule="exact"/>
        <w:ind w:left="378" w:hanging="378" w:firstLineChars="0"/>
        <w:rPr>
          <w:rFonts w:ascii="仿宋" w:hAnsi="仿宋" w:eastAsia="仿宋" w:cs="仿宋"/>
          <w:szCs w:val="24"/>
        </w:rPr>
      </w:pPr>
      <w:r>
        <w:rPr>
          <w:rFonts w:hint="eastAsia" w:ascii="仿宋" w:hAnsi="仿宋" w:eastAsia="仿宋" w:cs="仿宋"/>
          <w:szCs w:val="24"/>
        </w:rPr>
        <w:t>甲方的权利与义务</w:t>
      </w:r>
    </w:p>
    <w:p>
      <w:pPr>
        <w:pStyle w:val="58"/>
        <w:tabs>
          <w:tab w:val="left" w:pos="958"/>
        </w:tabs>
        <w:spacing w:before="190" w:beforeLines="50" w:after="190" w:afterLines="50" w:line="520" w:lineRule="exact"/>
        <w:ind w:left="-394" w:leftChars="-164" w:firstLine="0" w:firstLineChars="0"/>
        <w:jc w:val="left"/>
        <w:rPr>
          <w:rFonts w:ascii="仿宋" w:hAnsi="仿宋" w:eastAsia="仿宋" w:cs="仿宋"/>
          <w:szCs w:val="24"/>
        </w:rPr>
      </w:pPr>
      <w:r>
        <w:rPr>
          <w:rFonts w:hint="eastAsia" w:ascii="仿宋" w:hAnsi="仿宋" w:eastAsia="仿宋" w:cs="仿宋"/>
          <w:szCs w:val="24"/>
        </w:rPr>
        <w:t>1.甲方应根据合同约定的金额和日期，向乙方支付相应的款项。</w:t>
      </w:r>
    </w:p>
    <w:p>
      <w:pPr>
        <w:pStyle w:val="58"/>
        <w:tabs>
          <w:tab w:val="left" w:pos="1080"/>
        </w:tabs>
        <w:spacing w:before="190" w:beforeLines="50" w:after="190" w:afterLines="50" w:line="520" w:lineRule="exact"/>
        <w:ind w:left="-394" w:leftChars="-164" w:firstLine="0" w:firstLineChars="0"/>
        <w:rPr>
          <w:rFonts w:ascii="仿宋" w:hAnsi="仿宋" w:eastAsia="仿宋" w:cs="仿宋"/>
          <w:szCs w:val="24"/>
        </w:rPr>
      </w:pPr>
      <w:r>
        <w:rPr>
          <w:rFonts w:hint="eastAsia" w:ascii="仿宋" w:hAnsi="仿宋" w:eastAsia="仿宋" w:cs="仿宋"/>
          <w:szCs w:val="24"/>
        </w:rPr>
        <w:t>2.未经乙方许可，甲方对乙方提供的软件不得进行任何代码级的修改，由于甲方对乙方提供的软件进行任何的代码级改动而导致软件不能正常运行，乙方对此不承担责任且不提供服务。</w:t>
      </w:r>
    </w:p>
    <w:p>
      <w:pPr>
        <w:numPr>
          <w:ilvl w:val="0"/>
          <w:numId w:val="30"/>
        </w:numPr>
        <w:tabs>
          <w:tab w:val="left" w:pos="0"/>
          <w:tab w:val="left" w:pos="360"/>
        </w:tabs>
        <w:adjustRightInd w:val="0"/>
        <w:snapToGrid w:val="0"/>
        <w:spacing w:before="190" w:beforeLines="50" w:after="190" w:afterLines="50" w:line="520" w:lineRule="exact"/>
        <w:ind w:left="378" w:hanging="378" w:firstLineChars="0"/>
        <w:rPr>
          <w:rFonts w:ascii="仿宋" w:hAnsi="仿宋" w:eastAsia="仿宋" w:cs="仿宋"/>
          <w:szCs w:val="24"/>
        </w:rPr>
      </w:pPr>
      <w:r>
        <w:rPr>
          <w:rFonts w:hint="eastAsia" w:ascii="仿宋" w:hAnsi="仿宋" w:eastAsia="仿宋" w:cs="仿宋"/>
          <w:szCs w:val="24"/>
        </w:rPr>
        <w:t>乙方的权利与义务</w:t>
      </w:r>
    </w:p>
    <w:p>
      <w:pPr>
        <w:pStyle w:val="58"/>
        <w:tabs>
          <w:tab w:val="left" w:pos="1080"/>
        </w:tabs>
        <w:spacing w:before="190" w:beforeLines="50" w:after="190" w:afterLines="50" w:line="520" w:lineRule="exact"/>
        <w:ind w:left="-305" w:leftChars="-127" w:firstLine="0" w:firstLineChars="0"/>
        <w:rPr>
          <w:rFonts w:ascii="仿宋" w:hAnsi="仿宋" w:eastAsia="仿宋" w:cs="仿宋"/>
          <w:szCs w:val="24"/>
        </w:rPr>
      </w:pPr>
      <w:r>
        <w:rPr>
          <w:rFonts w:hint="eastAsia" w:ascii="仿宋" w:hAnsi="仿宋" w:eastAsia="仿宋" w:cs="仿宋"/>
          <w:szCs w:val="24"/>
        </w:rPr>
        <w:t>1.乙方对甲方须提供本地化的服务，且应按照甲方购买的软件功能以及合同规定的服务在双方约定的时间内，完成合同规定的服务内容，乙方有权对甲方软件的设计提出自己的意见和建议，提交甲方确认。</w:t>
      </w:r>
    </w:p>
    <w:p>
      <w:pPr>
        <w:pStyle w:val="58"/>
        <w:tabs>
          <w:tab w:val="left" w:pos="1080"/>
        </w:tabs>
        <w:spacing w:before="190" w:beforeLines="50" w:after="190" w:afterLines="50" w:line="520" w:lineRule="exact"/>
        <w:ind w:left="-305" w:leftChars="-127" w:firstLine="0" w:firstLineChars="0"/>
        <w:rPr>
          <w:rFonts w:ascii="仿宋" w:hAnsi="仿宋" w:eastAsia="仿宋" w:cs="仿宋"/>
          <w:szCs w:val="24"/>
        </w:rPr>
      </w:pPr>
      <w:r>
        <w:rPr>
          <w:rFonts w:hint="eastAsia" w:ascii="仿宋" w:hAnsi="仿宋" w:eastAsia="仿宋" w:cs="仿宋"/>
          <w:szCs w:val="24"/>
        </w:rPr>
        <w:t>2.乙方对甲方提供的文字及相关任何资料中所涉及的包括知识产权在内的一切法律问题不承担任何法律责任。</w:t>
      </w:r>
    </w:p>
    <w:p>
      <w:pPr>
        <w:pStyle w:val="58"/>
        <w:tabs>
          <w:tab w:val="left" w:pos="1080"/>
        </w:tabs>
        <w:spacing w:before="190" w:beforeLines="50" w:after="190" w:afterLines="50" w:line="520" w:lineRule="exact"/>
        <w:ind w:left="-305" w:leftChars="-127" w:firstLine="0" w:firstLineChars="0"/>
        <w:rPr>
          <w:rFonts w:ascii="仿宋" w:hAnsi="仿宋" w:eastAsia="仿宋" w:cs="仿宋"/>
          <w:szCs w:val="24"/>
        </w:rPr>
      </w:pPr>
      <w:r>
        <w:rPr>
          <w:rFonts w:hint="eastAsia" w:ascii="仿宋" w:hAnsi="仿宋" w:eastAsia="仿宋" w:cs="仿宋"/>
          <w:szCs w:val="24"/>
        </w:rPr>
        <w:t>3.当甲方拖欠乙方费用达到一个月时，乙方有权停止向甲方提供任何的服务，包括但不限于产品的使用许可及紧急援助。</w:t>
      </w:r>
      <w:bookmarkStart w:id="185" w:name="_Toc334720993"/>
      <w:bookmarkStart w:id="186" w:name="_Toc334721013"/>
      <w:bookmarkStart w:id="187" w:name="_Toc334720967"/>
    </w:p>
    <w:p>
      <w:pPr>
        <w:pStyle w:val="58"/>
        <w:tabs>
          <w:tab w:val="left" w:pos="1080"/>
        </w:tabs>
        <w:spacing w:before="190" w:beforeLines="50" w:after="190" w:afterLines="50" w:line="520" w:lineRule="exact"/>
        <w:ind w:left="-305" w:leftChars="-127" w:firstLine="0" w:firstLineChars="0"/>
        <w:rPr>
          <w:rFonts w:ascii="仿宋" w:hAnsi="仿宋" w:eastAsia="仿宋" w:cs="仿宋"/>
          <w:szCs w:val="24"/>
          <w:lang w:eastAsia="zh-Hans"/>
        </w:rPr>
      </w:pPr>
      <w:r>
        <w:rPr>
          <w:rFonts w:hint="eastAsia" w:ascii="仿宋" w:hAnsi="仿宋" w:eastAsia="仿宋" w:cs="仿宋"/>
          <w:szCs w:val="24"/>
        </w:rPr>
        <w:t>4</w:t>
      </w:r>
      <w:r>
        <w:rPr>
          <w:rFonts w:hint="eastAsia" w:ascii="仿宋" w:hAnsi="仿宋" w:eastAsia="仿宋" w:cs="仿宋"/>
          <w:szCs w:val="24"/>
          <w:lang w:eastAsia="zh-Hans"/>
        </w:rPr>
        <w:t>、乙方应对其所提供软件的知识产权负责，确保其所提供的软件未侵犯任何第三人之合法权益，有权授权甲方及其关联企业使用，如因此导致甲方或其关联企业无法使用软件的，乙方应退还甲方所有支付的款项，并赔偿甲方因此遭受之损失。</w:t>
      </w:r>
    </w:p>
    <w:p>
      <w:pPr>
        <w:spacing w:line="520" w:lineRule="exact"/>
        <w:ind w:firstLine="482"/>
        <w:rPr>
          <w:rFonts w:ascii="仿宋" w:hAnsi="仿宋" w:eastAsia="仿宋" w:cs="仿宋"/>
          <w:b/>
          <w:bCs/>
          <w:szCs w:val="24"/>
        </w:rPr>
      </w:pPr>
      <w:r>
        <w:rPr>
          <w:rFonts w:hint="eastAsia" w:ascii="仿宋" w:hAnsi="仿宋" w:eastAsia="仿宋" w:cs="仿宋"/>
          <w:b/>
          <w:bCs/>
          <w:szCs w:val="24"/>
        </w:rPr>
        <w:t>五、合同</w:t>
      </w:r>
      <w:bookmarkEnd w:id="185"/>
      <w:bookmarkEnd w:id="186"/>
      <w:bookmarkEnd w:id="187"/>
      <w:r>
        <w:rPr>
          <w:rFonts w:hint="eastAsia" w:ascii="仿宋" w:hAnsi="仿宋" w:eastAsia="仿宋" w:cs="仿宋"/>
          <w:b/>
          <w:bCs/>
          <w:szCs w:val="24"/>
        </w:rPr>
        <w:t>标的</w:t>
      </w:r>
    </w:p>
    <w:p>
      <w:pPr>
        <w:tabs>
          <w:tab w:val="left" w:pos="0"/>
          <w:tab w:val="left" w:pos="360"/>
        </w:tabs>
        <w:adjustRightInd w:val="0"/>
        <w:snapToGrid w:val="0"/>
        <w:spacing w:before="190" w:beforeLines="50" w:after="190" w:afterLines="50" w:line="520" w:lineRule="exact"/>
        <w:ind w:firstLine="240" w:firstLineChars="100"/>
        <w:rPr>
          <w:rFonts w:ascii="仿宋" w:hAnsi="仿宋" w:eastAsia="仿宋" w:cs="仿宋"/>
          <w:szCs w:val="24"/>
        </w:rPr>
      </w:pPr>
      <w:r>
        <w:rPr>
          <w:rFonts w:hint="eastAsia" w:ascii="仿宋" w:hAnsi="仿宋" w:eastAsia="仿宋" w:cs="仿宋"/>
          <w:szCs w:val="24"/>
        </w:rPr>
        <w:t>（一）</w:t>
      </w:r>
      <w:r>
        <w:rPr>
          <w:rFonts w:hint="eastAsia" w:ascii="仿宋" w:hAnsi="仿宋" w:eastAsia="仿宋" w:cs="仿宋"/>
          <w:bCs/>
          <w:szCs w:val="24"/>
          <w:lang w:eastAsia="zh-Hans"/>
        </w:rPr>
        <w:t>合同</w:t>
      </w:r>
      <w:r>
        <w:rPr>
          <w:rFonts w:hint="eastAsia" w:ascii="仿宋" w:hAnsi="仿宋" w:eastAsia="仿宋" w:cs="仿宋"/>
          <w:bCs/>
          <w:szCs w:val="24"/>
        </w:rPr>
        <w:t>总</w:t>
      </w:r>
      <w:r>
        <w:rPr>
          <w:rFonts w:hint="eastAsia" w:ascii="仿宋" w:hAnsi="仿宋" w:eastAsia="仿宋" w:cs="仿宋"/>
          <w:bCs/>
          <w:szCs w:val="24"/>
          <w:lang w:eastAsia="zh-Hans"/>
        </w:rPr>
        <w:t>金额</w:t>
      </w:r>
      <w:r>
        <w:rPr>
          <w:rFonts w:hint="eastAsia" w:ascii="仿宋" w:hAnsi="仿宋" w:eastAsia="仿宋" w:cs="仿宋"/>
          <w:bCs/>
          <w:szCs w:val="24"/>
        </w:rPr>
        <w:t>（含税价）（待定）</w:t>
      </w:r>
    </w:p>
    <w:p>
      <w:pPr>
        <w:tabs>
          <w:tab w:val="left" w:pos="0"/>
          <w:tab w:val="left" w:pos="360"/>
        </w:tabs>
        <w:adjustRightInd w:val="0"/>
        <w:snapToGrid w:val="0"/>
        <w:spacing w:before="190" w:beforeLines="50" w:after="190" w:afterLines="50" w:line="520" w:lineRule="exact"/>
        <w:ind w:firstLine="240" w:firstLineChars="100"/>
        <w:rPr>
          <w:rFonts w:ascii="仿宋" w:hAnsi="仿宋" w:eastAsia="仿宋" w:cs="仿宋"/>
          <w:b/>
          <w:szCs w:val="24"/>
        </w:rPr>
      </w:pPr>
      <w:r>
        <w:rPr>
          <w:rFonts w:hint="eastAsia" w:ascii="仿宋" w:hAnsi="仿宋" w:eastAsia="仿宋" w:cs="仿宋"/>
          <w:szCs w:val="24"/>
        </w:rPr>
        <w:t>（二）合同标的明细（待定）</w:t>
      </w:r>
    </w:p>
    <w:p>
      <w:pPr>
        <w:spacing w:line="520" w:lineRule="exact"/>
        <w:ind w:firstLine="482"/>
        <w:rPr>
          <w:rFonts w:ascii="仿宋" w:hAnsi="仿宋" w:eastAsia="仿宋" w:cs="仿宋"/>
          <w:b/>
          <w:bCs/>
          <w:szCs w:val="24"/>
        </w:rPr>
      </w:pPr>
      <w:bookmarkStart w:id="188" w:name="_Toc334721017"/>
      <w:bookmarkStart w:id="189" w:name="_Toc334720997"/>
      <w:bookmarkStart w:id="190" w:name="_Toc334720971"/>
    </w:p>
    <w:p>
      <w:pPr>
        <w:spacing w:line="520" w:lineRule="exact"/>
        <w:ind w:firstLine="482"/>
        <w:rPr>
          <w:rFonts w:ascii="仿宋" w:hAnsi="仿宋" w:eastAsia="仿宋" w:cs="仿宋"/>
          <w:b/>
          <w:bCs/>
          <w:szCs w:val="24"/>
        </w:rPr>
      </w:pPr>
      <w:r>
        <w:rPr>
          <w:rFonts w:hint="eastAsia" w:ascii="仿宋" w:hAnsi="仿宋" w:eastAsia="仿宋" w:cs="仿宋"/>
          <w:b/>
          <w:bCs/>
          <w:szCs w:val="24"/>
        </w:rPr>
        <w:t>六、付款方式</w:t>
      </w:r>
      <w:bookmarkEnd w:id="188"/>
      <w:bookmarkEnd w:id="189"/>
      <w:bookmarkEnd w:id="190"/>
    </w:p>
    <w:p>
      <w:pPr>
        <w:numPr>
          <w:ilvl w:val="0"/>
          <w:numId w:val="31"/>
        </w:numPr>
        <w:tabs>
          <w:tab w:val="left" w:pos="480"/>
        </w:tabs>
        <w:adjustRightInd w:val="0"/>
        <w:snapToGrid w:val="0"/>
        <w:spacing w:before="190" w:beforeLines="50" w:after="190" w:afterLines="50" w:line="520" w:lineRule="exact"/>
        <w:ind w:left="958" w:hanging="958" w:firstLineChars="0"/>
        <w:rPr>
          <w:rFonts w:ascii="仿宋" w:hAnsi="仿宋" w:eastAsia="仿宋" w:cs="仿宋"/>
          <w:szCs w:val="24"/>
        </w:rPr>
      </w:pPr>
      <w:r>
        <w:rPr>
          <w:rFonts w:hint="eastAsia" w:ascii="仿宋" w:hAnsi="仿宋" w:eastAsia="仿宋" w:cs="仿宋"/>
          <w:szCs w:val="24"/>
        </w:rPr>
        <w:t>付款方式</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本合同总金额（含税价）暂定为人民币大写</w:t>
      </w:r>
      <w:bookmarkStart w:id="191" w:name="OLE_LINK1"/>
      <w:r>
        <w:rPr>
          <w:rFonts w:hint="eastAsia" w:ascii="仿宋" w:hAnsi="仿宋" w:eastAsia="仿宋" w:cs="仿宋"/>
          <w:szCs w:val="24"/>
        </w:rPr>
        <w:t xml:space="preserve">   元整</w:t>
      </w:r>
      <w:bookmarkEnd w:id="191"/>
      <w:r>
        <w:rPr>
          <w:rFonts w:hint="eastAsia" w:ascii="仿宋" w:hAnsi="仿宋" w:eastAsia="仿宋" w:cs="仿宋"/>
          <w:szCs w:val="24"/>
        </w:rPr>
        <w:t>，</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小写￥     元。</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lang w:eastAsia="zh-Hans"/>
        </w:rPr>
        <w:t>合同签订之后15个工作日内，支付项目合同总金额30%作为预付款，项目系统上线后的15个工作日内，支付至项目合同总金额70%，本合同所有项目系统内容完成并经甲方或相关单位验收合格且正常运行后</w:t>
      </w:r>
      <w:r>
        <w:rPr>
          <w:rFonts w:hint="eastAsia" w:ascii="仿宋" w:hAnsi="仿宋" w:eastAsia="仿宋" w:cs="仿宋"/>
          <w:szCs w:val="24"/>
        </w:rPr>
        <w:t>15</w:t>
      </w:r>
      <w:r>
        <w:rPr>
          <w:rFonts w:hint="eastAsia" w:ascii="仿宋" w:hAnsi="仿宋" w:eastAsia="仿宋" w:cs="仿宋"/>
          <w:szCs w:val="24"/>
          <w:lang w:eastAsia="zh-Hans"/>
        </w:rPr>
        <w:t>个工作日内，乙方将本合同相关资料报送甲方审核，甲方于审核完毕后</w:t>
      </w:r>
      <w:r>
        <w:rPr>
          <w:rFonts w:hint="eastAsia" w:ascii="仿宋" w:hAnsi="仿宋" w:eastAsia="仿宋" w:cs="仿宋"/>
          <w:szCs w:val="24"/>
        </w:rPr>
        <w:t>15</w:t>
      </w:r>
      <w:r>
        <w:rPr>
          <w:rFonts w:hint="eastAsia" w:ascii="仿宋" w:hAnsi="仿宋" w:eastAsia="仿宋" w:cs="仿宋"/>
          <w:szCs w:val="24"/>
          <w:lang w:eastAsia="zh-Hans"/>
        </w:rPr>
        <w:t>个工作日内支付至</w:t>
      </w:r>
      <w:r>
        <w:rPr>
          <w:rFonts w:hint="eastAsia" w:ascii="仿宋" w:hAnsi="仿宋" w:eastAsia="仿宋" w:cs="仿宋"/>
          <w:szCs w:val="24"/>
        </w:rPr>
        <w:t>合同总金额</w:t>
      </w:r>
      <w:r>
        <w:rPr>
          <w:rFonts w:hint="eastAsia" w:ascii="仿宋" w:hAnsi="仿宋" w:eastAsia="仿宋" w:cs="仿宋"/>
          <w:szCs w:val="24"/>
          <w:lang w:eastAsia="zh-Hans"/>
        </w:rPr>
        <w:t>的95％给乙方。审核后</w:t>
      </w:r>
      <w:r>
        <w:rPr>
          <w:rFonts w:hint="eastAsia" w:ascii="仿宋" w:hAnsi="仿宋" w:eastAsia="仿宋" w:cs="仿宋"/>
          <w:szCs w:val="24"/>
        </w:rPr>
        <w:t>合同总金额</w:t>
      </w:r>
      <w:r>
        <w:rPr>
          <w:rFonts w:hint="eastAsia" w:ascii="仿宋" w:hAnsi="仿宋" w:eastAsia="仿宋" w:cs="仿宋"/>
          <w:szCs w:val="24"/>
          <w:lang w:eastAsia="zh-Hans"/>
        </w:rPr>
        <w:t>的5%作为项目</w:t>
      </w:r>
      <w:r>
        <w:rPr>
          <w:rFonts w:hint="eastAsia" w:ascii="仿宋" w:hAnsi="仿宋" w:eastAsia="仿宋" w:cs="仿宋"/>
          <w:szCs w:val="24"/>
        </w:rPr>
        <w:t>质量</w:t>
      </w:r>
      <w:r>
        <w:rPr>
          <w:rFonts w:hint="eastAsia" w:ascii="仿宋" w:hAnsi="仿宋" w:eastAsia="仿宋" w:cs="仿宋"/>
          <w:szCs w:val="24"/>
          <w:lang w:eastAsia="zh-Hans"/>
        </w:rPr>
        <w:t>保</w:t>
      </w:r>
      <w:r>
        <w:rPr>
          <w:rFonts w:hint="eastAsia" w:ascii="仿宋" w:hAnsi="仿宋" w:eastAsia="仿宋" w:cs="仿宋"/>
          <w:szCs w:val="24"/>
        </w:rPr>
        <w:t>证</w:t>
      </w:r>
      <w:r>
        <w:rPr>
          <w:rFonts w:hint="eastAsia" w:ascii="仿宋" w:hAnsi="仿宋" w:eastAsia="仿宋" w:cs="仿宋"/>
          <w:szCs w:val="24"/>
          <w:lang w:eastAsia="zh-Hans"/>
        </w:rPr>
        <w:t>金, 项目</w:t>
      </w:r>
      <w:r>
        <w:rPr>
          <w:rFonts w:hint="eastAsia" w:ascii="仿宋" w:hAnsi="仿宋" w:eastAsia="仿宋" w:cs="仿宋"/>
          <w:szCs w:val="24"/>
        </w:rPr>
        <w:t>质保</w:t>
      </w:r>
      <w:r>
        <w:rPr>
          <w:rFonts w:hint="eastAsia" w:ascii="仿宋" w:hAnsi="仿宋" w:eastAsia="仿宋" w:cs="仿宋"/>
          <w:szCs w:val="24"/>
          <w:lang w:eastAsia="zh-Hans"/>
        </w:rPr>
        <w:t>期限届满，</w:t>
      </w:r>
      <w:r>
        <w:rPr>
          <w:rFonts w:hint="eastAsia" w:ascii="仿宋" w:hAnsi="仿宋" w:eastAsia="仿宋" w:cs="仿宋"/>
          <w:szCs w:val="24"/>
        </w:rPr>
        <w:t>质</w:t>
      </w:r>
      <w:r>
        <w:rPr>
          <w:rFonts w:hint="eastAsia" w:ascii="仿宋" w:hAnsi="仿宋" w:eastAsia="仿宋" w:cs="仿宋"/>
          <w:szCs w:val="24"/>
          <w:lang w:eastAsia="zh-Hans"/>
        </w:rPr>
        <w:t>保期内对系统使用服务无异议，未发生应扣除费用且乙方不存在任何违约行为，经甲方确认后</w:t>
      </w:r>
      <w:r>
        <w:rPr>
          <w:rFonts w:hint="eastAsia" w:ascii="仿宋" w:hAnsi="仿宋" w:eastAsia="仿宋" w:cs="仿宋"/>
          <w:szCs w:val="24"/>
        </w:rPr>
        <w:t>10</w:t>
      </w:r>
      <w:r>
        <w:rPr>
          <w:rFonts w:hint="eastAsia" w:ascii="仿宋" w:hAnsi="仿宋" w:eastAsia="仿宋" w:cs="仿宋"/>
          <w:szCs w:val="24"/>
          <w:lang w:eastAsia="zh-Hans"/>
        </w:rPr>
        <w:t>个工作日内甲方全额返还项目维保金，不计利息。</w:t>
      </w:r>
    </w:p>
    <w:p>
      <w:pPr>
        <w:tabs>
          <w:tab w:val="left" w:pos="540"/>
        </w:tabs>
        <w:adjustRightInd w:val="0"/>
        <w:snapToGrid w:val="0"/>
        <w:spacing w:before="381" w:beforeLines="100" w:after="190" w:afterLines="50" w:line="520" w:lineRule="exact"/>
        <w:ind w:firstLine="0" w:firstLineChars="0"/>
        <w:rPr>
          <w:rFonts w:ascii="仿宋" w:hAnsi="仿宋" w:eastAsia="仿宋" w:cs="仿宋"/>
          <w:szCs w:val="24"/>
        </w:rPr>
      </w:pPr>
      <w:r>
        <w:rPr>
          <w:rFonts w:hint="eastAsia" w:ascii="仿宋" w:hAnsi="仿宋" w:eastAsia="仿宋" w:cs="仿宋"/>
          <w:szCs w:val="24"/>
        </w:rPr>
        <w:t>（二）付款方式说明</w:t>
      </w:r>
    </w:p>
    <w:p>
      <w:pPr>
        <w:pStyle w:val="84"/>
        <w:spacing w:before="190" w:beforeLines="50" w:line="520" w:lineRule="exact"/>
        <w:ind w:firstLine="480"/>
        <w:rPr>
          <w:rFonts w:ascii="仿宋" w:hAnsi="仿宋" w:eastAsia="仿宋" w:cs="仿宋"/>
          <w:bCs/>
          <w:color w:val="000000" w:themeColor="text1"/>
          <w:szCs w:val="24"/>
          <w:lang w:eastAsia="zh-Hans"/>
          <w14:textFill>
            <w14:solidFill>
              <w14:schemeClr w14:val="tx1"/>
            </w14:solidFill>
          </w14:textFill>
        </w:rPr>
      </w:pPr>
      <w:r>
        <w:rPr>
          <w:rFonts w:hint="eastAsia" w:ascii="仿宋" w:hAnsi="仿宋" w:eastAsia="仿宋" w:cs="仿宋"/>
          <w:bCs/>
          <w:color w:val="000000" w:themeColor="text1"/>
          <w:szCs w:val="24"/>
          <w14:textFill>
            <w14:solidFill>
              <w14:schemeClr w14:val="tx1"/>
            </w14:solidFill>
          </w14:textFill>
        </w:rPr>
        <w:t>1.</w:t>
      </w:r>
      <w:r>
        <w:rPr>
          <w:rFonts w:hint="eastAsia" w:ascii="仿宋" w:hAnsi="仿宋" w:eastAsia="仿宋" w:cs="仿宋"/>
          <w:bCs/>
          <w:color w:val="000000" w:themeColor="text1"/>
          <w:szCs w:val="24"/>
          <w:lang w:eastAsia="zh-Hans"/>
          <w14:textFill>
            <w14:solidFill>
              <w14:schemeClr w14:val="tx1"/>
            </w14:solidFill>
          </w14:textFill>
        </w:rPr>
        <w:t>乙方按照合同规定的进度交付产品及服务并经甲方或相关单位验收合格</w:t>
      </w:r>
      <w:r>
        <w:rPr>
          <w:rFonts w:hint="eastAsia" w:ascii="仿宋" w:hAnsi="仿宋" w:eastAsia="仿宋" w:cs="仿宋"/>
          <w:bCs/>
          <w:color w:val="000000" w:themeColor="text1"/>
          <w:szCs w:val="24"/>
          <w14:textFill>
            <w14:solidFill>
              <w14:schemeClr w14:val="tx1"/>
            </w14:solidFill>
          </w14:textFill>
        </w:rPr>
        <w:t>后</w:t>
      </w:r>
      <w:r>
        <w:rPr>
          <w:rFonts w:hint="eastAsia" w:ascii="仿宋" w:hAnsi="仿宋" w:eastAsia="仿宋" w:cs="仿宋"/>
          <w:bCs/>
          <w:color w:val="000000" w:themeColor="text1"/>
          <w:szCs w:val="24"/>
          <w:lang w:eastAsia="zh-Hans"/>
          <w14:textFill>
            <w14:solidFill>
              <w14:schemeClr w14:val="tx1"/>
            </w14:solidFill>
          </w14:textFill>
        </w:rPr>
        <w:t>，</w:t>
      </w:r>
      <w:r>
        <w:rPr>
          <w:rFonts w:hint="eastAsia" w:ascii="仿宋" w:hAnsi="仿宋" w:eastAsia="仿宋" w:cs="仿宋"/>
          <w:bCs/>
          <w:color w:val="000000" w:themeColor="text1"/>
          <w:szCs w:val="24"/>
          <w14:textFill>
            <w14:solidFill>
              <w14:schemeClr w14:val="tx1"/>
            </w14:solidFill>
          </w14:textFill>
        </w:rPr>
        <w:t>并</w:t>
      </w:r>
      <w:r>
        <w:rPr>
          <w:rFonts w:hint="eastAsia" w:ascii="仿宋" w:hAnsi="仿宋" w:eastAsia="仿宋" w:cs="仿宋"/>
          <w:bCs/>
          <w:color w:val="000000" w:themeColor="text1"/>
          <w:szCs w:val="24"/>
          <w:lang w:eastAsia="zh-Hans"/>
          <w14:textFill>
            <w14:solidFill>
              <w14:schemeClr w14:val="tx1"/>
            </w14:solidFill>
          </w14:textFill>
        </w:rPr>
        <w:t>按付款进度开具等额增值税专用发票。</w:t>
      </w:r>
    </w:p>
    <w:p>
      <w:pPr>
        <w:tabs>
          <w:tab w:val="left" w:pos="0"/>
        </w:tabs>
        <w:adjustRightInd w:val="0"/>
        <w:snapToGrid w:val="0"/>
        <w:spacing w:before="190" w:beforeLines="50" w:after="190" w:afterLines="50" w:line="520" w:lineRule="exact"/>
        <w:ind w:left="540" w:firstLine="0" w:firstLineChars="0"/>
        <w:rPr>
          <w:rFonts w:ascii="仿宋" w:hAnsi="仿宋" w:eastAsia="仿宋" w:cs="仿宋"/>
          <w:szCs w:val="24"/>
        </w:rPr>
      </w:pPr>
      <w:r>
        <w:rPr>
          <w:rFonts w:hint="eastAsia" w:ascii="仿宋" w:hAnsi="仿宋" w:eastAsia="仿宋" w:cs="仿宋"/>
          <w:szCs w:val="24"/>
        </w:rPr>
        <w:t>2.甲方按照合同进度支付相关的费用。</w:t>
      </w:r>
      <w:r>
        <w:rPr>
          <w:rFonts w:hint="eastAsia" w:ascii="仿宋" w:hAnsi="仿宋" w:eastAsia="仿宋" w:cs="仿宋"/>
          <w:szCs w:val="24"/>
          <w:lang w:eastAsia="zh-Hans"/>
        </w:rPr>
        <w:t>甲方付款前，乙方应提供相应金额的增值税</w:t>
      </w:r>
      <w:r>
        <w:rPr>
          <w:rFonts w:hint="eastAsia" w:ascii="仿宋" w:hAnsi="仿宋" w:eastAsia="仿宋" w:cs="仿宋"/>
          <w:szCs w:val="24"/>
        </w:rPr>
        <w:t>专用</w:t>
      </w:r>
      <w:r>
        <w:rPr>
          <w:rFonts w:hint="eastAsia" w:ascii="仿宋" w:hAnsi="仿宋" w:eastAsia="仿宋" w:cs="仿宋"/>
          <w:szCs w:val="24"/>
          <w:lang w:eastAsia="zh-Hans"/>
        </w:rPr>
        <w:t>发票，否则甲方有权停止付款，且不属于违约。</w:t>
      </w:r>
    </w:p>
    <w:p>
      <w:pPr>
        <w:tabs>
          <w:tab w:val="left" w:pos="0"/>
        </w:tabs>
        <w:adjustRightInd w:val="0"/>
        <w:snapToGrid w:val="0"/>
        <w:spacing w:before="190" w:beforeLines="50" w:line="520" w:lineRule="exact"/>
        <w:ind w:left="540" w:firstLine="0" w:firstLineChars="0"/>
        <w:rPr>
          <w:rFonts w:ascii="仿宋" w:hAnsi="仿宋" w:eastAsia="仿宋" w:cs="仿宋"/>
          <w:szCs w:val="24"/>
        </w:rPr>
      </w:pPr>
      <w:r>
        <w:rPr>
          <w:rFonts w:hint="eastAsia" w:ascii="仿宋" w:hAnsi="仿宋" w:eastAsia="仿宋" w:cs="仿宋"/>
          <w:szCs w:val="24"/>
        </w:rPr>
        <w:t>3.乙方银行账户信息</w:t>
      </w:r>
    </w:p>
    <w:p>
      <w:pPr>
        <w:tabs>
          <w:tab w:val="left" w:pos="0"/>
        </w:tabs>
        <w:adjustRightInd w:val="0"/>
        <w:snapToGrid w:val="0"/>
        <w:spacing w:before="190" w:beforeLines="50" w:line="520" w:lineRule="exact"/>
        <w:ind w:left="540" w:firstLine="0" w:firstLineChars="0"/>
        <w:rPr>
          <w:rFonts w:ascii="仿宋" w:hAnsi="仿宋" w:eastAsia="仿宋" w:cs="仿宋"/>
          <w:szCs w:val="24"/>
        </w:rPr>
      </w:pPr>
      <w:r>
        <w:rPr>
          <w:rFonts w:hint="eastAsia" w:ascii="仿宋" w:hAnsi="仿宋" w:eastAsia="仿宋" w:cs="仿宋"/>
          <w:szCs w:val="24"/>
        </w:rPr>
        <w:t>公司名称：</w:t>
      </w:r>
    </w:p>
    <w:p>
      <w:pPr>
        <w:tabs>
          <w:tab w:val="left" w:pos="0"/>
        </w:tabs>
        <w:adjustRightInd w:val="0"/>
        <w:snapToGrid w:val="0"/>
        <w:spacing w:before="190" w:beforeLines="50" w:line="520" w:lineRule="exact"/>
        <w:ind w:left="540" w:firstLine="0" w:firstLineChars="0"/>
        <w:rPr>
          <w:rFonts w:ascii="仿宋" w:hAnsi="仿宋" w:eastAsia="仿宋" w:cs="仿宋"/>
          <w:szCs w:val="24"/>
        </w:rPr>
      </w:pPr>
      <w:r>
        <w:rPr>
          <w:rFonts w:hint="eastAsia" w:ascii="仿宋" w:hAnsi="仿宋" w:eastAsia="仿宋" w:cs="仿宋"/>
          <w:szCs w:val="24"/>
        </w:rPr>
        <w:t>公司税号：</w:t>
      </w:r>
    </w:p>
    <w:p>
      <w:pPr>
        <w:tabs>
          <w:tab w:val="left" w:pos="0"/>
        </w:tabs>
        <w:adjustRightInd w:val="0"/>
        <w:snapToGrid w:val="0"/>
        <w:spacing w:before="190" w:beforeLines="50" w:line="520" w:lineRule="exact"/>
        <w:ind w:left="540" w:firstLine="0" w:firstLineChars="0"/>
        <w:rPr>
          <w:rFonts w:ascii="仿宋" w:hAnsi="仿宋" w:eastAsia="仿宋" w:cs="仿宋"/>
          <w:szCs w:val="24"/>
        </w:rPr>
      </w:pPr>
      <w:r>
        <w:rPr>
          <w:rFonts w:hint="eastAsia" w:ascii="仿宋" w:hAnsi="仿宋" w:eastAsia="仿宋" w:cs="仿宋"/>
          <w:szCs w:val="24"/>
        </w:rPr>
        <w:t>开户银行：</w:t>
      </w:r>
    </w:p>
    <w:p>
      <w:pPr>
        <w:tabs>
          <w:tab w:val="left" w:pos="0"/>
        </w:tabs>
        <w:adjustRightInd w:val="0"/>
        <w:snapToGrid w:val="0"/>
        <w:spacing w:before="190" w:beforeLines="50" w:line="520" w:lineRule="exact"/>
        <w:ind w:left="540" w:firstLine="0" w:firstLineChars="0"/>
        <w:rPr>
          <w:rFonts w:ascii="仿宋" w:hAnsi="仿宋" w:eastAsia="仿宋" w:cs="仿宋"/>
          <w:szCs w:val="24"/>
        </w:rPr>
      </w:pPr>
      <w:r>
        <w:rPr>
          <w:rFonts w:hint="eastAsia" w:ascii="仿宋" w:hAnsi="仿宋" w:eastAsia="仿宋" w:cs="仿宋"/>
          <w:szCs w:val="24"/>
        </w:rPr>
        <w:t>银行账号：</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4.甲方开票资料（开票前请提供开票资料、一般纳税人资格证和合同原件）</w:t>
      </w:r>
    </w:p>
    <w:tbl>
      <w:tblPr>
        <w:tblStyle w:val="34"/>
        <w:tblW w:w="7875" w:type="dxa"/>
        <w:tblInd w:w="4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1"/>
        <w:gridCol w:w="5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1"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单位名称：</w:t>
            </w:r>
          </w:p>
        </w:tc>
        <w:tc>
          <w:tcPr>
            <w:tcW w:w="5784"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厦门开元数字科技有限公司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2" w:hRule="atLeast"/>
        </w:trPr>
        <w:tc>
          <w:tcPr>
            <w:tcW w:w="2091"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纳税人识别号：</w:t>
            </w:r>
          </w:p>
        </w:tc>
        <w:tc>
          <w:tcPr>
            <w:tcW w:w="5784"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91350203MA8W03BH8D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1"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地址</w:t>
            </w:r>
          </w:p>
        </w:tc>
        <w:tc>
          <w:tcPr>
            <w:tcW w:w="5784"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color w:val="000000"/>
                <w:szCs w:val="24"/>
              </w:rPr>
              <w:t>厦门市思明区台东路153号202单元之八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1"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电话</w:t>
            </w:r>
          </w:p>
        </w:tc>
        <w:tc>
          <w:tcPr>
            <w:tcW w:w="5784"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color w:val="000000"/>
                <w:szCs w:val="24"/>
              </w:rPr>
              <w:t>0592-2092153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1"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开户行</w:t>
            </w:r>
          </w:p>
        </w:tc>
        <w:tc>
          <w:tcPr>
            <w:tcW w:w="5784"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厦门银行开元支行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1"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账号</w:t>
            </w:r>
          </w:p>
        </w:tc>
        <w:tc>
          <w:tcPr>
            <w:tcW w:w="5784" w:type="dxa"/>
            <w:shd w:val="clear" w:color="auto" w:fill="auto"/>
          </w:tcPr>
          <w:p>
            <w:pPr>
              <w:tabs>
                <w:tab w:val="left" w:pos="0"/>
                <w:tab w:val="left" w:pos="360"/>
              </w:tabs>
              <w:adjustRightInd w:val="0"/>
              <w:snapToGrid w:val="0"/>
              <w:spacing w:before="190" w:beforeLines="50" w:after="190" w:afterLines="50" w:line="520" w:lineRule="exact"/>
              <w:ind w:firstLine="0" w:firstLineChars="0"/>
              <w:rPr>
                <w:rFonts w:ascii="仿宋" w:hAnsi="仿宋" w:eastAsia="仿宋" w:cs="仿宋"/>
                <w:szCs w:val="24"/>
              </w:rPr>
            </w:pPr>
            <w:r>
              <w:rPr>
                <w:rFonts w:hint="eastAsia" w:ascii="仿宋" w:hAnsi="仿宋" w:eastAsia="仿宋" w:cs="仿宋"/>
                <w:szCs w:val="24"/>
              </w:rPr>
              <w:t>80117400002919</w:t>
            </w:r>
          </w:p>
        </w:tc>
      </w:tr>
    </w:tbl>
    <w:p>
      <w:pPr>
        <w:tabs>
          <w:tab w:val="left" w:pos="0"/>
          <w:tab w:val="left" w:pos="360"/>
        </w:tabs>
        <w:adjustRightInd w:val="0"/>
        <w:snapToGrid w:val="0"/>
        <w:spacing w:before="190" w:beforeLines="50" w:after="190" w:afterLines="50" w:line="520" w:lineRule="exact"/>
        <w:ind w:firstLine="240" w:firstLineChars="100"/>
        <w:rPr>
          <w:rFonts w:ascii="仿宋" w:hAnsi="仿宋" w:eastAsia="仿宋" w:cs="仿宋"/>
          <w:szCs w:val="24"/>
        </w:rPr>
      </w:pPr>
      <w:r>
        <w:rPr>
          <w:rFonts w:hint="eastAsia" w:ascii="仿宋" w:hAnsi="仿宋" w:eastAsia="仿宋" w:cs="仿宋"/>
          <w:szCs w:val="24"/>
        </w:rPr>
        <w:t>5.甲方邮寄信息（接收发票与合同）</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 xml:space="preserve">邮寄地址：厦门市思明区台东路68号18层1801单元 </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收 件 人：罗晓兰</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电    话：18750918104</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6.乙方邮寄信息（接收合同）</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 xml:space="preserve">邮寄地址： </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收 件 人：</w:t>
      </w:r>
    </w:p>
    <w:p>
      <w:pPr>
        <w:tabs>
          <w:tab w:val="left" w:pos="0"/>
          <w:tab w:val="left" w:pos="36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电    话：</w:t>
      </w:r>
    </w:p>
    <w:p>
      <w:pPr>
        <w:spacing w:line="520" w:lineRule="exact"/>
        <w:ind w:firstLine="482"/>
        <w:rPr>
          <w:rFonts w:ascii="仿宋" w:hAnsi="仿宋" w:eastAsia="仿宋" w:cs="仿宋"/>
          <w:b/>
          <w:bCs/>
          <w:szCs w:val="24"/>
        </w:rPr>
      </w:pPr>
      <w:bookmarkStart w:id="192" w:name="_Toc334720998"/>
      <w:bookmarkStart w:id="193" w:name="_Toc334720972"/>
      <w:bookmarkStart w:id="194" w:name="_Toc334721018"/>
      <w:r>
        <w:rPr>
          <w:rFonts w:hint="eastAsia" w:ascii="仿宋" w:hAnsi="仿宋" w:eastAsia="仿宋" w:cs="仿宋"/>
          <w:b/>
          <w:bCs/>
          <w:szCs w:val="24"/>
        </w:rPr>
        <w:t>七、知识产权及保护</w:t>
      </w:r>
      <w:bookmarkEnd w:id="192"/>
      <w:bookmarkEnd w:id="193"/>
      <w:bookmarkEnd w:id="194"/>
    </w:p>
    <w:p>
      <w:pPr>
        <w:tabs>
          <w:tab w:val="left" w:pos="0"/>
          <w:tab w:val="left" w:pos="54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（一）乙方许可甲方使用的该软件是指许可的软件为自主研发的产品，软件研发公司对此产品拥有软件著作权，同时包含了商业秘密。没有得到乙方书面准许，甲方将不实施以下行为：</w:t>
      </w:r>
    </w:p>
    <w:p>
      <w:pPr>
        <w:pStyle w:val="72"/>
        <w:tabs>
          <w:tab w:val="left" w:pos="1260"/>
        </w:tabs>
        <w:spacing w:before="190" w:beforeLines="50" w:after="190" w:afterLines="50"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1.除被授权人员外，将许可软件全部或部分地向他人提供或以其他形式供他人利用</w:t>
      </w:r>
      <w:r>
        <w:rPr>
          <w:rFonts w:hint="eastAsia" w:ascii="仿宋" w:hAnsi="仿宋" w:eastAsia="仿宋" w:cs="仿宋"/>
          <w:color w:val="auto"/>
          <w:sz w:val="24"/>
          <w:szCs w:val="24"/>
          <w:lang w:eastAsia="zh-Hans"/>
        </w:rPr>
        <w:t>（甲方内部人员及甲方关联企业人员除外）。</w:t>
      </w:r>
    </w:p>
    <w:p>
      <w:pPr>
        <w:pStyle w:val="72"/>
        <w:tabs>
          <w:tab w:val="left" w:pos="1260"/>
        </w:tabs>
        <w:spacing w:before="190" w:beforeLines="50" w:after="190" w:afterLines="50" w:line="520" w:lineRule="exact"/>
        <w:ind w:left="-259" w:leftChars="-108" w:firstLine="480" w:firstLineChars="200"/>
        <w:rPr>
          <w:rFonts w:ascii="仿宋" w:hAnsi="仿宋" w:eastAsia="仿宋" w:cs="仿宋"/>
          <w:color w:val="auto"/>
          <w:sz w:val="24"/>
          <w:szCs w:val="24"/>
        </w:rPr>
      </w:pPr>
      <w:r>
        <w:rPr>
          <w:rFonts w:hint="eastAsia" w:ascii="仿宋" w:hAnsi="仿宋" w:eastAsia="仿宋" w:cs="仿宋"/>
          <w:color w:val="auto"/>
          <w:sz w:val="24"/>
          <w:szCs w:val="24"/>
        </w:rPr>
        <w:t>2.除一份备用许可程序和若干份供甲方人员获准接受培训及获准使用许可软件所必需的许可资料外，未经乙方同意制作、指使制作或许可制作该许可软件的拷贝</w:t>
      </w:r>
      <w:r>
        <w:rPr>
          <w:rFonts w:hint="eastAsia" w:ascii="仿宋" w:hAnsi="仿宋" w:eastAsia="仿宋" w:cs="仿宋"/>
          <w:color w:val="auto"/>
          <w:sz w:val="24"/>
          <w:szCs w:val="24"/>
          <w:lang w:eastAsia="zh-Hans"/>
        </w:rPr>
        <w:t>。</w:t>
      </w:r>
    </w:p>
    <w:p>
      <w:pPr>
        <w:pStyle w:val="72"/>
        <w:tabs>
          <w:tab w:val="left" w:pos="1260"/>
        </w:tabs>
        <w:spacing w:before="190" w:beforeLines="50" w:after="190" w:afterLines="50" w:line="520" w:lineRule="exact"/>
        <w:ind w:left="-259" w:leftChars="-108" w:firstLine="480" w:firstLineChars="200"/>
        <w:rPr>
          <w:rFonts w:ascii="仿宋" w:hAnsi="仿宋" w:eastAsia="仿宋" w:cs="仿宋"/>
          <w:color w:val="auto"/>
          <w:sz w:val="24"/>
          <w:szCs w:val="24"/>
        </w:rPr>
      </w:pPr>
      <w:r>
        <w:rPr>
          <w:rFonts w:hint="eastAsia" w:ascii="仿宋" w:hAnsi="仿宋" w:eastAsia="仿宋" w:cs="仿宋"/>
          <w:color w:val="auto"/>
          <w:sz w:val="24"/>
          <w:szCs w:val="24"/>
        </w:rPr>
        <w:t>3.除向准许使用该软件的被授权人员揭示外，向其他人泄漏或允许这种泄漏。</w:t>
      </w:r>
    </w:p>
    <w:p>
      <w:pPr>
        <w:pStyle w:val="72"/>
        <w:tabs>
          <w:tab w:val="left" w:pos="1260"/>
        </w:tabs>
        <w:spacing w:before="190" w:beforeLines="50" w:after="190" w:afterLines="50"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上述这些限制将适用于包含有乙方许可甲方使用的任何软件系统。</w:t>
      </w:r>
    </w:p>
    <w:p>
      <w:pPr>
        <w:numPr>
          <w:ilvl w:val="0"/>
          <w:numId w:val="32"/>
        </w:numPr>
        <w:tabs>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如果甲方决定终止本合同及其许可软件的使用权，则甲方应将该许可程序从指定硬件服务器中卸出，并将随同提供给甲方的或由甲方自己复制的所有拷贝全部原本返还乙方。</w:t>
      </w:r>
    </w:p>
    <w:p>
      <w:pPr>
        <w:numPr>
          <w:ilvl w:val="0"/>
          <w:numId w:val="32"/>
        </w:numPr>
        <w:tabs>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由甲方复制的所有许可软件的所有拷贝和其介质包含有许可软件程序或其任何部分的所有拷贝，都应该照乙方提供的说明附上如下提示，在无法登载这种提示的场合，也应在适当的地方以适当的形式注明其内容：</w:t>
      </w:r>
    </w:p>
    <w:p>
      <w:pPr>
        <w:tabs>
          <w:tab w:val="left" w:pos="0"/>
          <w:tab w:val="left" w:pos="54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“软件研发公司版权所有，软件研发公司根据中国著作权法，本资料为未出版的作品，在本资料中还包含有属于软件研发公司的商业秘密。未经许可对本资料进行复制或以其他方式加以揭示均构成侵权。”</w:t>
      </w:r>
    </w:p>
    <w:p>
      <w:pPr>
        <w:numPr>
          <w:ilvl w:val="0"/>
          <w:numId w:val="33"/>
        </w:numPr>
        <w:tabs>
          <w:tab w:val="left" w:pos="0"/>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本条的各项规定不因本合同的终止而终止，当向甲方发放的使用许可全部或部分终止并依本条第2款规定返还所有资料后3年内，该条的各项规定将继续有效。</w:t>
      </w:r>
    </w:p>
    <w:p>
      <w:pPr>
        <w:numPr>
          <w:ilvl w:val="0"/>
          <w:numId w:val="33"/>
        </w:numPr>
        <w:tabs>
          <w:tab w:val="left" w:pos="0"/>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甲方如约支付款项，乙方应提供临时授权以保证系统的正常使用；甲方付清应付乙方的全部款项后，正式享有软件永久使用权。</w:t>
      </w:r>
    </w:p>
    <w:p>
      <w:pPr>
        <w:numPr>
          <w:ilvl w:val="0"/>
          <w:numId w:val="33"/>
        </w:numPr>
        <w:tabs>
          <w:tab w:val="left" w:pos="0"/>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软件研发公司对产品及其机密信息拥有所有权利，包括但不限于专利、著作权、商标、商品名称、专有技术和商业秘密；甲方任何时候都有义务协助乙方开展维权工作。如甲方直接或通过任何个人拷贝、复制产品或修改、制作派生作品，解码，逆向工程，反汇编或以其他方式从乙方产品中导出源代码或目标代码，都将被视为严重侵权行为，由此给乙方造成的一切损失由甲方承担。</w:t>
      </w:r>
    </w:p>
    <w:p>
      <w:pPr>
        <w:numPr>
          <w:ilvl w:val="0"/>
          <w:numId w:val="33"/>
        </w:numPr>
        <w:tabs>
          <w:tab w:val="left" w:pos="0"/>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本项目实施过程中针对甲方客户化定制开发部分的软件著作权归甲方所有。</w:t>
      </w:r>
    </w:p>
    <w:p>
      <w:pPr>
        <w:numPr>
          <w:ilvl w:val="0"/>
          <w:numId w:val="33"/>
        </w:numPr>
        <w:tabs>
          <w:tab w:val="left" w:pos="0"/>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在本合同生效日期前已存在的知识产权应归原权利人所有。任何一方均不可凭借本合同取得另一方所拥有的知识产权。</w:t>
      </w:r>
    </w:p>
    <w:p>
      <w:pPr>
        <w:numPr>
          <w:ilvl w:val="0"/>
          <w:numId w:val="33"/>
        </w:numPr>
        <w:tabs>
          <w:tab w:val="left" w:pos="0"/>
          <w:tab w:val="left" w:pos="54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如因乙方原因出现与软件有关的第三方指控或知识侵权的事件，应由乙方负责并保证甲方的利益不受任何损失，否则乙方应赔偿甲方的损失。</w:t>
      </w:r>
      <w:bookmarkStart w:id="195" w:name="_Toc1336"/>
      <w:bookmarkStart w:id="196" w:name="_Toc334721019"/>
      <w:bookmarkStart w:id="197" w:name="_Toc334720973"/>
      <w:bookmarkStart w:id="198" w:name="_Toc334720999"/>
    </w:p>
    <w:p>
      <w:pPr>
        <w:spacing w:line="520" w:lineRule="exact"/>
        <w:ind w:firstLine="482"/>
        <w:rPr>
          <w:rFonts w:ascii="仿宋" w:hAnsi="仿宋" w:eastAsia="仿宋" w:cs="仿宋"/>
          <w:b/>
          <w:bCs/>
          <w:szCs w:val="24"/>
        </w:rPr>
      </w:pPr>
      <w:r>
        <w:rPr>
          <w:rFonts w:hint="eastAsia" w:ascii="仿宋" w:hAnsi="仿宋" w:eastAsia="仿宋" w:cs="仿宋"/>
          <w:b/>
          <w:bCs/>
          <w:szCs w:val="24"/>
        </w:rPr>
        <w:t>八、保密条款</w:t>
      </w:r>
      <w:bookmarkEnd w:id="195"/>
      <w:bookmarkEnd w:id="196"/>
      <w:bookmarkEnd w:id="197"/>
      <w:bookmarkEnd w:id="198"/>
    </w:p>
    <w:p>
      <w:pPr>
        <w:tabs>
          <w:tab w:val="left" w:pos="0"/>
          <w:tab w:val="left" w:pos="54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一）除非由透露方特别授权，获取方在本合同规定的“保密期限”内不得向任何第三方透露所获得的保密信息，并且不得将获得的保密信息用于实施软件之外的任何目的。“保密期限”指获得保密信息之日起满五年，或者至按照本条第3条款所述信息不再具有保密性质为止。</w:t>
      </w:r>
    </w:p>
    <w:p>
      <w:pPr>
        <w:tabs>
          <w:tab w:val="left" w:pos="0"/>
          <w:tab w:val="left" w:pos="54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（二）获取方应尽最大努力将保密信息的传递限制在为了上述目的而必须知晓该保密信息的雇员之内。</w:t>
      </w:r>
    </w:p>
    <w:p>
      <w:pPr>
        <w:tabs>
          <w:tab w:val="left" w:pos="0"/>
          <w:tab w:val="left" w:pos="54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（三）不论本合同的其它条款有何规定，双方承认保密信息不应包括以下信息：</w:t>
      </w:r>
    </w:p>
    <w:p>
      <w:pPr>
        <w:pStyle w:val="72"/>
        <w:tabs>
          <w:tab w:val="left" w:pos="1080"/>
          <w:tab w:val="left" w:pos="1260"/>
        </w:tabs>
        <w:spacing w:before="190" w:beforeLines="50" w:after="190" w:afterLines="50"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1.是为公众熟知的或非因获取方不正当行为而成为公知的信息；</w:t>
      </w:r>
    </w:p>
    <w:p>
      <w:pPr>
        <w:pStyle w:val="72"/>
        <w:tabs>
          <w:tab w:val="left" w:pos="1080"/>
          <w:tab w:val="left" w:pos="1260"/>
        </w:tabs>
        <w:spacing w:before="190" w:beforeLines="50" w:after="190" w:afterLines="50"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2.被合理地令人满意地向透露方证明，已由获取方在不违反本合同的情况下而独立开发的信息；</w:t>
      </w:r>
    </w:p>
    <w:p>
      <w:pPr>
        <w:pStyle w:val="72"/>
        <w:tabs>
          <w:tab w:val="left" w:pos="1080"/>
          <w:tab w:val="left" w:pos="1260"/>
        </w:tabs>
        <w:spacing w:before="190" w:beforeLines="50" w:after="190" w:afterLines="50"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3.经透露方书面授权发布的信息；</w:t>
      </w:r>
    </w:p>
    <w:p>
      <w:pPr>
        <w:pStyle w:val="72"/>
        <w:tabs>
          <w:tab w:val="left" w:pos="1080"/>
          <w:tab w:val="left" w:pos="1260"/>
        </w:tabs>
        <w:spacing w:before="190" w:beforeLines="50" w:after="190" w:afterLines="50"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4.被规定由获取方向具有管辖权的法院或恰当授权的政府部门透露的信息。</w:t>
      </w:r>
    </w:p>
    <w:p>
      <w:pPr>
        <w:pStyle w:val="72"/>
        <w:tabs>
          <w:tab w:val="left" w:pos="1080"/>
          <w:tab w:val="left" w:pos="1260"/>
        </w:tabs>
        <w:spacing w:before="190" w:beforeLines="50" w:after="190" w:afterLines="50"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就</w:t>
      </w:r>
      <w:r>
        <w:rPr>
          <w:rFonts w:hint="eastAsia" w:ascii="仿宋" w:hAnsi="仿宋" w:eastAsia="仿宋" w:cs="仿宋"/>
          <w:color w:val="auto"/>
          <w:sz w:val="24"/>
          <w:szCs w:val="24"/>
          <w:lang w:eastAsia="zh-Hans"/>
        </w:rPr>
        <w:t>第</w:t>
      </w:r>
      <w:r>
        <w:rPr>
          <w:rFonts w:hint="eastAsia" w:ascii="仿宋" w:hAnsi="仿宋" w:eastAsia="仿宋" w:cs="仿宋"/>
          <w:color w:val="auto"/>
          <w:sz w:val="24"/>
          <w:szCs w:val="24"/>
        </w:rPr>
        <w:t>4项而言，如果获取方被要求或被规定透露任何保密信息，获取方将迅速向原始透露方发出有关的书面通知，以便原始透露方可寻求保护令，或其它适当的补救方法。获取方同意尽其最大努力协助透露方取得保护令或其它适当的补救方法。如果没有获得上述保护令或其它补救方法，获取方将仅提供被命令透露的该部分保密信息，并将尽其它合理的努力取得其它保证，保证所透露的保密信息将获得保密对待。</w:t>
      </w:r>
    </w:p>
    <w:p>
      <w:pPr>
        <w:numPr>
          <w:ilvl w:val="0"/>
          <w:numId w:val="34"/>
        </w:numPr>
        <w:tabs>
          <w:tab w:val="left" w:pos="0"/>
          <w:tab w:val="left" w:pos="540"/>
          <w:tab w:val="left" w:pos="72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获取方同意应原始透露方要求向原始透露方归还含有保密信息的所有资料。</w:t>
      </w:r>
    </w:p>
    <w:p>
      <w:pPr>
        <w:numPr>
          <w:ilvl w:val="0"/>
          <w:numId w:val="34"/>
        </w:numPr>
        <w:tabs>
          <w:tab w:val="left" w:pos="0"/>
          <w:tab w:val="left" w:pos="540"/>
          <w:tab w:val="left" w:pos="72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除非按本合同授权的方式或许可范围使用保密信息，合同任何一方对保密信息无权取得任何明示或暗示的使用或占有的许可。</w:t>
      </w:r>
    </w:p>
    <w:p>
      <w:pPr>
        <w:numPr>
          <w:ilvl w:val="0"/>
          <w:numId w:val="34"/>
        </w:numPr>
        <w:tabs>
          <w:tab w:val="left" w:pos="0"/>
          <w:tab w:val="left" w:pos="540"/>
          <w:tab w:val="left" w:pos="720"/>
        </w:tabs>
        <w:adjustRightInd w:val="0"/>
        <w:snapToGrid w:val="0"/>
        <w:spacing w:before="190" w:beforeLines="50" w:after="190" w:afterLines="50" w:line="520" w:lineRule="exact"/>
        <w:ind w:firstLineChars="0"/>
        <w:rPr>
          <w:rFonts w:ascii="仿宋" w:hAnsi="仿宋" w:eastAsia="仿宋" w:cs="仿宋"/>
          <w:szCs w:val="24"/>
        </w:rPr>
      </w:pPr>
      <w:r>
        <w:rPr>
          <w:rFonts w:hint="eastAsia" w:ascii="仿宋" w:hAnsi="仿宋" w:eastAsia="仿宋" w:cs="仿宋"/>
          <w:szCs w:val="24"/>
        </w:rPr>
        <w:t>获取方同意，获取方或其任何雇员、代理或代表违反本合同对透露方造成的损害，将赔偿因此对守约方造成的所有损失。</w:t>
      </w:r>
    </w:p>
    <w:p>
      <w:pPr>
        <w:spacing w:line="520" w:lineRule="exact"/>
        <w:ind w:firstLine="482"/>
        <w:rPr>
          <w:rFonts w:ascii="仿宋" w:hAnsi="仿宋" w:eastAsia="仿宋" w:cs="仿宋"/>
          <w:b/>
          <w:bCs/>
          <w:szCs w:val="24"/>
        </w:rPr>
      </w:pPr>
      <w:bookmarkStart w:id="199" w:name="_Toc323245328"/>
      <w:bookmarkStart w:id="200" w:name="_Toc334720974"/>
      <w:bookmarkStart w:id="201" w:name="_Toc334721000"/>
      <w:bookmarkStart w:id="202" w:name="_Toc334721020"/>
      <w:bookmarkStart w:id="203" w:name="_Toc10563"/>
      <w:bookmarkStart w:id="204" w:name="_Toc330235310"/>
      <w:r>
        <w:rPr>
          <w:rFonts w:hint="eastAsia" w:ascii="仿宋" w:hAnsi="仿宋" w:eastAsia="仿宋" w:cs="仿宋"/>
          <w:b/>
          <w:bCs/>
          <w:szCs w:val="24"/>
        </w:rPr>
        <w:t>九、承诺与保证</w:t>
      </w:r>
      <w:bookmarkEnd w:id="199"/>
      <w:bookmarkEnd w:id="200"/>
      <w:bookmarkEnd w:id="201"/>
      <w:bookmarkEnd w:id="202"/>
      <w:bookmarkEnd w:id="203"/>
      <w:bookmarkEnd w:id="204"/>
    </w:p>
    <w:p>
      <w:pPr>
        <w:tabs>
          <w:tab w:val="left" w:pos="540"/>
        </w:tabs>
        <w:adjustRightInd w:val="0"/>
        <w:snapToGrid w:val="0"/>
        <w:spacing w:before="190" w:beforeLines="50" w:after="190" w:afterLines="50" w:line="520" w:lineRule="exact"/>
        <w:ind w:left="-547" w:leftChars="-228" w:firstLine="480"/>
        <w:rPr>
          <w:rFonts w:ascii="仿宋" w:hAnsi="仿宋" w:eastAsia="仿宋" w:cs="仿宋"/>
          <w:szCs w:val="24"/>
        </w:rPr>
      </w:pPr>
      <w:r>
        <w:rPr>
          <w:rFonts w:hint="eastAsia" w:ascii="仿宋" w:hAnsi="仿宋" w:eastAsia="仿宋" w:cs="仿宋"/>
          <w:szCs w:val="24"/>
        </w:rPr>
        <w:t>（一）乙方保证，许可软件不侵犯任何第三方版权、专利权或商标权，同时也不违反任何第三方的信息专有权。</w:t>
      </w:r>
    </w:p>
    <w:p>
      <w:pPr>
        <w:tabs>
          <w:tab w:val="left" w:pos="540"/>
        </w:tabs>
        <w:adjustRightInd w:val="0"/>
        <w:snapToGrid w:val="0"/>
        <w:spacing w:before="190" w:beforeLines="50" w:after="190" w:afterLines="50" w:line="520" w:lineRule="exact"/>
        <w:ind w:left="-547" w:leftChars="-228" w:firstLine="480"/>
        <w:rPr>
          <w:rFonts w:ascii="仿宋" w:hAnsi="仿宋" w:eastAsia="仿宋" w:cs="仿宋"/>
          <w:szCs w:val="24"/>
        </w:rPr>
      </w:pPr>
      <w:r>
        <w:rPr>
          <w:rFonts w:hint="eastAsia" w:ascii="仿宋" w:hAnsi="仿宋" w:eastAsia="仿宋" w:cs="仿宋"/>
          <w:szCs w:val="24"/>
        </w:rPr>
        <w:t>（二）当有第三方就甲方在本合同许可的范围内使用该许可软件或是其中任何一部分向甲方提起诉讼，指控其侵犯在中国的版权、商业秘密权或专利权，因乙方原因造成损失的，乙方应予以赔偿。</w:t>
      </w:r>
    </w:p>
    <w:p>
      <w:pPr>
        <w:tabs>
          <w:tab w:val="left" w:pos="540"/>
        </w:tabs>
        <w:adjustRightInd w:val="0"/>
        <w:snapToGrid w:val="0"/>
        <w:spacing w:before="190" w:beforeLines="50" w:after="190" w:afterLines="50" w:line="520" w:lineRule="exact"/>
        <w:ind w:left="-547" w:leftChars="-228" w:firstLine="480"/>
        <w:rPr>
          <w:rFonts w:ascii="仿宋" w:hAnsi="仿宋" w:eastAsia="仿宋" w:cs="仿宋"/>
          <w:szCs w:val="24"/>
        </w:rPr>
      </w:pPr>
      <w:r>
        <w:rPr>
          <w:rFonts w:hint="eastAsia" w:ascii="仿宋" w:hAnsi="仿宋" w:eastAsia="仿宋" w:cs="仿宋"/>
          <w:szCs w:val="24"/>
        </w:rPr>
        <w:t>（三）甲方自己安装以及使用其他非乙方许可软件的，甲方将自己承担相应的责任。</w:t>
      </w:r>
      <w:bookmarkStart w:id="205" w:name="_Toc334721021"/>
      <w:bookmarkStart w:id="206" w:name="_Toc334720975"/>
      <w:bookmarkStart w:id="207" w:name="_Toc24943"/>
      <w:bookmarkStart w:id="208" w:name="_Toc334721001"/>
    </w:p>
    <w:p>
      <w:pPr>
        <w:spacing w:line="520" w:lineRule="exact"/>
        <w:ind w:firstLine="482"/>
        <w:rPr>
          <w:rFonts w:ascii="仿宋" w:hAnsi="仿宋" w:eastAsia="仿宋" w:cs="仿宋"/>
          <w:b/>
          <w:bCs/>
          <w:szCs w:val="24"/>
        </w:rPr>
      </w:pPr>
      <w:r>
        <w:rPr>
          <w:rFonts w:hint="eastAsia" w:ascii="仿宋" w:hAnsi="仿宋" w:eastAsia="仿宋" w:cs="仿宋"/>
          <w:b/>
          <w:bCs/>
          <w:szCs w:val="24"/>
        </w:rPr>
        <w:t>十、违约责任</w:t>
      </w:r>
      <w:bookmarkEnd w:id="205"/>
      <w:bookmarkEnd w:id="206"/>
      <w:bookmarkEnd w:id="207"/>
      <w:bookmarkEnd w:id="208"/>
    </w:p>
    <w:p>
      <w:pPr>
        <w:tabs>
          <w:tab w:val="left" w:pos="0"/>
          <w:tab w:val="left" w:pos="54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任一方违反本合同条款，以致他方蒙受损害时，受损方可按照民法典之合同篇的规定要求损害方赔偿损失，赔偿仅以可举证的直接损失为限，不包括流失的或预期的利益，以及任何其他连带性或间接性的损失。</w:t>
      </w:r>
    </w:p>
    <w:p>
      <w:pPr>
        <w:spacing w:line="520" w:lineRule="exact"/>
        <w:ind w:firstLine="482"/>
        <w:rPr>
          <w:rFonts w:ascii="仿宋" w:hAnsi="仿宋" w:eastAsia="仿宋" w:cs="仿宋"/>
          <w:b/>
          <w:bCs/>
          <w:szCs w:val="24"/>
        </w:rPr>
      </w:pPr>
      <w:bookmarkStart w:id="209" w:name="_Toc334720976"/>
      <w:bookmarkStart w:id="210" w:name="_Toc334721022"/>
      <w:bookmarkStart w:id="211" w:name="_Toc334721002"/>
      <w:r>
        <w:rPr>
          <w:rFonts w:hint="eastAsia" w:ascii="仿宋" w:hAnsi="仿宋" w:eastAsia="仿宋" w:cs="仿宋"/>
          <w:b/>
          <w:bCs/>
          <w:szCs w:val="24"/>
        </w:rPr>
        <w:t>十一、不可抗力</w:t>
      </w:r>
      <w:bookmarkEnd w:id="209"/>
      <w:bookmarkEnd w:id="210"/>
      <w:bookmarkEnd w:id="211"/>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（一）如果双方中的任何一方因为不可抗力，如：战争、火灾、台风、洪水、地震等属于不可抗力且足以引起被迫停止或推迟合同执行的原因，则合同执行相应顺延。</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二）不可抗力对合同双方均适用。在合同生效后，如果发生不可抗力而不能履行合同时，则由事故发生一方，取得公证机关的不能履行或不能完全履行或延期履行本合同的证明。甲乙双方可凭此证明解除全部或部分相关责任。</w:t>
      </w:r>
    </w:p>
    <w:p>
      <w:pPr>
        <w:spacing w:line="520" w:lineRule="exact"/>
        <w:ind w:firstLine="482"/>
        <w:rPr>
          <w:rFonts w:ascii="仿宋" w:hAnsi="仿宋" w:eastAsia="仿宋" w:cs="仿宋"/>
          <w:b/>
          <w:bCs/>
          <w:szCs w:val="24"/>
        </w:rPr>
      </w:pPr>
      <w:bookmarkStart w:id="212" w:name="_Toc329871850"/>
      <w:bookmarkStart w:id="213" w:name="_Toc334721023"/>
      <w:bookmarkStart w:id="214" w:name="_Toc334721003"/>
      <w:bookmarkStart w:id="215" w:name="_Toc334720977"/>
      <w:r>
        <w:rPr>
          <w:rFonts w:hint="eastAsia" w:ascii="仿宋" w:hAnsi="仿宋" w:eastAsia="仿宋" w:cs="仿宋"/>
          <w:b/>
          <w:bCs/>
          <w:szCs w:val="24"/>
        </w:rPr>
        <w:t>十二、反商业贿赂</w:t>
      </w:r>
      <w:bookmarkEnd w:id="212"/>
      <w:bookmarkEnd w:id="213"/>
      <w:bookmarkEnd w:id="214"/>
      <w:bookmarkEnd w:id="215"/>
    </w:p>
    <w:p>
      <w:pPr>
        <w:tabs>
          <w:tab w:val="left" w:pos="540"/>
          <w:tab w:val="left" w:pos="900"/>
        </w:tabs>
        <w:spacing w:before="190" w:beforeLines="50" w:after="190" w:afterLines="50" w:line="520" w:lineRule="exact"/>
        <w:ind w:left="677" w:hanging="676" w:hangingChars="282"/>
        <w:rPr>
          <w:rFonts w:ascii="仿宋" w:hAnsi="仿宋" w:eastAsia="仿宋" w:cs="仿宋"/>
          <w:szCs w:val="24"/>
        </w:rPr>
      </w:pPr>
      <w:r>
        <w:rPr>
          <w:rFonts w:hint="eastAsia" w:ascii="仿宋" w:hAnsi="仿宋" w:eastAsia="仿宋" w:cs="仿宋"/>
          <w:szCs w:val="24"/>
        </w:rPr>
        <w:t>甲乙双方愿共同遵守如下反商业贿赂条款：</w:t>
      </w:r>
    </w:p>
    <w:p>
      <w:pPr>
        <w:numPr>
          <w:ilvl w:val="0"/>
          <w:numId w:val="35"/>
        </w:numPr>
        <w:tabs>
          <w:tab w:val="left" w:pos="0"/>
          <w:tab w:val="left" w:pos="540"/>
          <w:tab w:val="left" w:pos="900"/>
        </w:tabs>
        <w:adjustRightInd w:val="0"/>
        <w:snapToGrid w:val="0"/>
        <w:spacing w:before="190" w:beforeLines="50" w:after="190" w:afterLines="50" w:line="520" w:lineRule="exact"/>
        <w:ind w:left="674" w:hanging="674" w:hangingChars="281"/>
        <w:rPr>
          <w:rFonts w:ascii="仿宋" w:hAnsi="仿宋" w:eastAsia="仿宋" w:cs="仿宋"/>
          <w:szCs w:val="24"/>
        </w:rPr>
      </w:pPr>
      <w:r>
        <w:rPr>
          <w:rFonts w:hint="eastAsia" w:ascii="仿宋" w:hAnsi="仿宋" w:eastAsia="仿宋" w:cs="仿宋"/>
          <w:szCs w:val="24"/>
        </w:rPr>
        <w:t>甲乙双方都清楚并愿意严格遵守中华人民共和国反商业贿赂的法律规定，双方都清楚任何形式的贿赂和贪渎行为都将触犯法律，并将受到法律的严惩。</w:t>
      </w:r>
    </w:p>
    <w:p>
      <w:pPr>
        <w:numPr>
          <w:ilvl w:val="0"/>
          <w:numId w:val="35"/>
        </w:numPr>
        <w:tabs>
          <w:tab w:val="left" w:pos="0"/>
          <w:tab w:val="left" w:pos="540"/>
          <w:tab w:val="left" w:pos="900"/>
        </w:tabs>
        <w:adjustRightInd w:val="0"/>
        <w:snapToGrid w:val="0"/>
        <w:spacing w:before="190" w:beforeLines="50" w:after="190" w:afterLines="50" w:line="520" w:lineRule="exact"/>
        <w:ind w:left="674" w:hanging="674" w:hangingChars="281"/>
        <w:rPr>
          <w:rFonts w:ascii="仿宋" w:hAnsi="仿宋" w:eastAsia="仿宋" w:cs="仿宋"/>
          <w:szCs w:val="24"/>
        </w:rPr>
      </w:pPr>
      <w:r>
        <w:rPr>
          <w:rFonts w:hint="eastAsia" w:ascii="仿宋" w:hAnsi="仿宋" w:eastAsia="仿宋" w:cs="仿宋"/>
          <w:szCs w:val="24"/>
        </w:rPr>
        <w:t>甲方或乙方均不得向对方或对方经办人或其他相关人员索要、收受、提供、给予合同约定外的任何利益，包括但不限于明扣、暗扣、现金、购物卡、实物、有价证券、旅游或其他非物质性利益等，但如该等利益属于行业惯例或通常做法，则须在合同中明示。</w:t>
      </w:r>
    </w:p>
    <w:p>
      <w:pPr>
        <w:numPr>
          <w:ilvl w:val="0"/>
          <w:numId w:val="35"/>
        </w:numPr>
        <w:tabs>
          <w:tab w:val="left" w:pos="0"/>
          <w:tab w:val="left" w:pos="540"/>
          <w:tab w:val="left" w:pos="900"/>
        </w:tabs>
        <w:adjustRightInd w:val="0"/>
        <w:snapToGrid w:val="0"/>
        <w:spacing w:before="190" w:beforeLines="50" w:after="190" w:afterLines="50" w:line="520" w:lineRule="exact"/>
        <w:ind w:left="674" w:hanging="674" w:hangingChars="281"/>
        <w:rPr>
          <w:rFonts w:ascii="仿宋" w:hAnsi="仿宋" w:eastAsia="仿宋" w:cs="仿宋"/>
          <w:szCs w:val="24"/>
        </w:rPr>
      </w:pPr>
      <w:r>
        <w:rPr>
          <w:rFonts w:hint="eastAsia" w:ascii="仿宋" w:hAnsi="仿宋" w:eastAsia="仿宋" w:cs="仿宋"/>
          <w:szCs w:val="24"/>
        </w:rPr>
        <w:t>甲乙双方应当严格禁止经办人员的任何商业贿赂行为。经办人发生本条第2款所列示的任何一种行为，都被视为违约行为，给对方造成损失的，应承担赔偿责任。</w:t>
      </w:r>
    </w:p>
    <w:p>
      <w:pPr>
        <w:numPr>
          <w:ilvl w:val="0"/>
          <w:numId w:val="35"/>
        </w:numPr>
        <w:tabs>
          <w:tab w:val="left" w:pos="0"/>
          <w:tab w:val="left" w:pos="540"/>
          <w:tab w:val="left" w:pos="900"/>
        </w:tabs>
        <w:adjustRightInd w:val="0"/>
        <w:snapToGrid w:val="0"/>
        <w:spacing w:before="190" w:beforeLines="50" w:after="190" w:afterLines="50" w:line="520" w:lineRule="exact"/>
        <w:ind w:left="674" w:hanging="674" w:hangingChars="281"/>
        <w:rPr>
          <w:rFonts w:ascii="仿宋" w:hAnsi="仿宋" w:eastAsia="仿宋" w:cs="仿宋"/>
          <w:szCs w:val="24"/>
        </w:rPr>
      </w:pPr>
      <w:r>
        <w:rPr>
          <w:rFonts w:hint="eastAsia" w:ascii="仿宋" w:hAnsi="仿宋" w:eastAsia="仿宋" w:cs="仿宋"/>
          <w:szCs w:val="24"/>
        </w:rPr>
        <w:t>本条所称“其他相关人员”是指甲乙方经办人以外的与合同有直接或间接利益关系的人员，包括但不仅限于合同经办人的亲友。</w:t>
      </w:r>
    </w:p>
    <w:p>
      <w:pPr>
        <w:spacing w:line="520" w:lineRule="exact"/>
        <w:ind w:firstLine="482"/>
        <w:rPr>
          <w:rFonts w:ascii="仿宋" w:hAnsi="仿宋" w:eastAsia="仿宋" w:cs="仿宋"/>
          <w:b/>
          <w:bCs/>
          <w:szCs w:val="24"/>
        </w:rPr>
      </w:pPr>
      <w:bookmarkStart w:id="216" w:name="_Toc534297258"/>
      <w:bookmarkEnd w:id="216"/>
      <w:bookmarkStart w:id="217" w:name="_Toc534298373"/>
      <w:bookmarkEnd w:id="217"/>
      <w:bookmarkStart w:id="218" w:name="_Toc534297257"/>
      <w:bookmarkEnd w:id="218"/>
      <w:bookmarkStart w:id="219" w:name="_Toc534298371"/>
      <w:bookmarkEnd w:id="219"/>
      <w:bookmarkStart w:id="220" w:name="_Toc534297259"/>
      <w:bookmarkEnd w:id="220"/>
      <w:bookmarkStart w:id="221" w:name="_Toc534298372"/>
      <w:bookmarkEnd w:id="221"/>
      <w:bookmarkStart w:id="222" w:name="_Toc334721026"/>
      <w:bookmarkStart w:id="223" w:name="_Toc334721006"/>
      <w:bookmarkStart w:id="224" w:name="_Toc334720980"/>
      <w:bookmarkStart w:id="225" w:name="_Toc330235315"/>
      <w:r>
        <w:rPr>
          <w:rFonts w:hint="eastAsia" w:ascii="仿宋" w:hAnsi="仿宋" w:eastAsia="仿宋" w:cs="仿宋"/>
          <w:b/>
          <w:bCs/>
          <w:szCs w:val="24"/>
        </w:rPr>
        <w:t>十三、合同的终止</w:t>
      </w:r>
      <w:bookmarkEnd w:id="222"/>
      <w:bookmarkEnd w:id="223"/>
      <w:bookmarkEnd w:id="224"/>
      <w:bookmarkEnd w:id="225"/>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本合同在双方履行完合同规定的各自义务后终止，但有关双方保密义务的条款按照相关规定条款继续有效。除非根据本条如下的规定而发生终止：</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（一）如果合同的任何一方违反了本合同所规定的任何义务，则除了采取任何可采取的补 救措施之外，如果认为有必要，另外一方还可以终止本合同中许可给违约方的所有权利，并以书面形式提前60天通知违约方，说明其违反的有关规定。</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（二）由于战争、地震、火灾等不可抗力因素导致的工作中断，双方均不承担责任，待条件恢复后，由双方协商确定合同书变更内容。</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（三）合同发生上述终止后，甲乙双方根据项目执行情况，共同协商合同终止的相关事宜。</w:t>
      </w:r>
    </w:p>
    <w:p>
      <w:pPr>
        <w:spacing w:line="520" w:lineRule="exact"/>
        <w:ind w:firstLine="482"/>
        <w:rPr>
          <w:rFonts w:ascii="仿宋" w:hAnsi="仿宋" w:eastAsia="仿宋" w:cs="仿宋"/>
          <w:b/>
          <w:bCs/>
          <w:szCs w:val="24"/>
        </w:rPr>
      </w:pPr>
      <w:r>
        <w:rPr>
          <w:rFonts w:hint="eastAsia" w:ascii="仿宋" w:hAnsi="仿宋" w:eastAsia="仿宋" w:cs="仿宋"/>
          <w:b/>
          <w:bCs/>
          <w:szCs w:val="24"/>
        </w:rPr>
        <w:t>十四、合同的生效</w:t>
      </w:r>
    </w:p>
    <w:p>
      <w:pPr>
        <w:numPr>
          <w:ilvl w:val="0"/>
          <w:numId w:val="36"/>
        </w:numPr>
        <w:tabs>
          <w:tab w:val="left" w:pos="0"/>
          <w:tab w:val="left" w:pos="720"/>
        </w:tabs>
        <w:adjustRightInd w:val="0"/>
        <w:snapToGrid w:val="0"/>
        <w:spacing w:before="190" w:beforeLines="50" w:after="190" w:afterLines="50" w:line="520" w:lineRule="exact"/>
        <w:ind w:left="546" w:hanging="546" w:firstLineChars="0"/>
        <w:rPr>
          <w:rFonts w:ascii="仿宋" w:hAnsi="仿宋" w:eastAsia="仿宋" w:cs="仿宋"/>
          <w:szCs w:val="24"/>
        </w:rPr>
      </w:pPr>
      <w:r>
        <w:rPr>
          <w:rFonts w:hint="eastAsia" w:ascii="仿宋" w:hAnsi="仿宋" w:eastAsia="仿宋" w:cs="仿宋"/>
          <w:szCs w:val="24"/>
        </w:rPr>
        <w:t>本合同经甲乙双方法定代表人或授权代表签字并加盖公司印章后生效。</w:t>
      </w:r>
    </w:p>
    <w:p>
      <w:pPr>
        <w:numPr>
          <w:ilvl w:val="0"/>
          <w:numId w:val="36"/>
        </w:numPr>
        <w:tabs>
          <w:tab w:val="left" w:pos="0"/>
          <w:tab w:val="left" w:pos="720"/>
        </w:tabs>
        <w:adjustRightInd w:val="0"/>
        <w:snapToGrid w:val="0"/>
        <w:spacing w:before="190" w:beforeLines="50" w:after="190" w:afterLines="50" w:line="520" w:lineRule="exact"/>
        <w:ind w:left="546" w:hanging="546" w:firstLineChars="0"/>
        <w:rPr>
          <w:rFonts w:ascii="仿宋" w:hAnsi="仿宋" w:eastAsia="仿宋" w:cs="仿宋"/>
          <w:szCs w:val="24"/>
        </w:rPr>
      </w:pPr>
      <w:r>
        <w:rPr>
          <w:rFonts w:hint="eastAsia" w:ascii="仿宋" w:hAnsi="仿宋" w:eastAsia="仿宋" w:cs="仿宋"/>
          <w:szCs w:val="24"/>
        </w:rPr>
        <w:t>所有与本合同有关的补充协议及附件经双方盖章确认后将作为本合同的补充，与本合同具有同等效力。如果补充协议与合同中相关条款有不一致之处，以补充协议为准。</w:t>
      </w:r>
      <w:bookmarkStart w:id="226" w:name="_Toc334720981"/>
      <w:bookmarkStart w:id="227" w:name="_Toc334721007"/>
      <w:bookmarkStart w:id="228" w:name="_Toc334721027"/>
    </w:p>
    <w:p>
      <w:pPr>
        <w:spacing w:line="520" w:lineRule="exact"/>
        <w:ind w:firstLine="482"/>
        <w:rPr>
          <w:rFonts w:ascii="仿宋" w:hAnsi="仿宋" w:eastAsia="仿宋" w:cs="仿宋"/>
          <w:b/>
          <w:bCs/>
          <w:szCs w:val="24"/>
        </w:rPr>
      </w:pPr>
      <w:r>
        <w:rPr>
          <w:rFonts w:hint="eastAsia" w:ascii="仿宋" w:hAnsi="仿宋" w:eastAsia="仿宋" w:cs="仿宋"/>
          <w:b/>
          <w:bCs/>
          <w:szCs w:val="24"/>
        </w:rPr>
        <w:t>十五、其它相关</w:t>
      </w:r>
      <w:bookmarkEnd w:id="226"/>
      <w:bookmarkEnd w:id="227"/>
      <w:bookmarkEnd w:id="228"/>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（一）与乙方产品及服务相关的合同乙方不授权任何第三方签订以及收取款项，如甲方与第三方签订相关合同，则乙方不承担任何责任。</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（二）本合同的标题仅作为参考，它不影响本合同的含义及其解释。</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三）本合同所要求的所有通知，支付或其他方面的通讯均要求书面形式。如果是当面递交，则实际收到时才视为交付。通知书采用邮寄时应使用挂号方式或保证递送的方式，邮件必须付足邮费，地址按本合同第一段所写，但任何一方只要以书面形式通知对方，则可随时修改其通讯地址。</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（四）在本合同生效后3年之内，甲方都不得雇佣乙方的雇员。</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五）经双方签字盖章的本合同及其附件构成所涉及事项的一个完整合同，它将取代之前双方就所涉及事项做出的口头或书面的协议或许诺。本合同任何修改都必须以书面形式进行，并经本合同双方授权的代表签字盖章后生效。</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（六）甲方同意在所有的提到该许可软件或乙方的文字出版物上都附上产品名称及短语－－本许可软件是乙方专有的软件产品。</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（七）如本合同中涉及项目实施交付，项目验收以双方共同确认的项目实施计划为准，且以双方签字盖章的验收单为最终验收证明。</w:t>
      </w:r>
    </w:p>
    <w:p>
      <w:pPr>
        <w:tabs>
          <w:tab w:val="left" w:pos="0"/>
          <w:tab w:val="left" w:pos="720"/>
        </w:tabs>
        <w:adjustRightInd w:val="0"/>
        <w:snapToGrid w:val="0"/>
        <w:spacing w:before="190" w:beforeLines="50" w:after="190" w:afterLines="50" w:line="520" w:lineRule="exact"/>
        <w:ind w:firstLine="480"/>
        <w:rPr>
          <w:rFonts w:ascii="仿宋" w:hAnsi="仿宋" w:eastAsia="仿宋" w:cs="仿宋"/>
          <w:szCs w:val="24"/>
        </w:rPr>
      </w:pPr>
      <w:r>
        <w:rPr>
          <w:rFonts w:hint="eastAsia" w:ascii="仿宋" w:hAnsi="仿宋" w:eastAsia="仿宋" w:cs="仿宋"/>
          <w:szCs w:val="24"/>
        </w:rPr>
        <w:t>（八）本合同受中国法律管辖。本合同履行过程中产生的任何争议，双方应本着积极态度，友好协商解决，可在本合同书的原则基础上进行修改、补充，双方另签订补充协议，补充协议经双方签字盖章后与本合同书具有同等的法律效力。该争议未能通过友好协商解决的，任何一方可以将该争议向</w:t>
      </w:r>
      <w:r>
        <w:rPr>
          <w:rFonts w:hint="eastAsia" w:ascii="仿宋" w:hAnsi="仿宋" w:eastAsia="仿宋" w:cs="仿宋"/>
          <w:szCs w:val="24"/>
          <w:lang w:eastAsia="zh-Hans"/>
        </w:rPr>
        <w:t>甲方所在地</w:t>
      </w:r>
      <w:r>
        <w:rPr>
          <w:rFonts w:hint="eastAsia" w:ascii="仿宋" w:hAnsi="仿宋" w:eastAsia="仿宋" w:cs="仿宋"/>
          <w:szCs w:val="24"/>
        </w:rPr>
        <w:t>人民法院提起诉讼。</w:t>
      </w:r>
    </w:p>
    <w:p>
      <w:pPr>
        <w:spacing w:line="520" w:lineRule="exact"/>
        <w:ind w:firstLine="482"/>
        <w:rPr>
          <w:rFonts w:ascii="仿宋" w:hAnsi="仿宋" w:eastAsia="仿宋" w:cs="仿宋"/>
          <w:b/>
          <w:bCs/>
          <w:szCs w:val="24"/>
        </w:rPr>
      </w:pPr>
      <w:bookmarkStart w:id="229" w:name="_Toc534298377"/>
      <w:bookmarkEnd w:id="229"/>
      <w:bookmarkStart w:id="230" w:name="_Toc334721028"/>
      <w:bookmarkStart w:id="231" w:name="_Toc334720982"/>
      <w:bookmarkStart w:id="232" w:name="_Toc334721008"/>
      <w:r>
        <w:rPr>
          <w:rFonts w:hint="eastAsia" w:ascii="仿宋" w:hAnsi="仿宋" w:eastAsia="仿宋" w:cs="仿宋"/>
          <w:b/>
          <w:bCs/>
          <w:szCs w:val="24"/>
        </w:rPr>
        <w:t>十六、合同书签署</w:t>
      </w:r>
      <w:bookmarkEnd w:id="230"/>
      <w:bookmarkEnd w:id="231"/>
      <w:bookmarkEnd w:id="232"/>
    </w:p>
    <w:p>
      <w:pPr>
        <w:pStyle w:val="18"/>
        <w:rPr>
          <w:rFonts w:ascii="仿宋" w:hAnsi="仿宋" w:eastAsia="仿宋" w:cs="仿宋"/>
          <w:sz w:val="24"/>
          <w:szCs w:val="24"/>
        </w:rPr>
      </w:pPr>
      <w:bookmarkStart w:id="233" w:name="_Toc5255"/>
      <w:bookmarkStart w:id="234" w:name="_Toc24488"/>
      <w:r>
        <w:rPr>
          <w:rFonts w:hint="eastAsia" w:ascii="仿宋" w:hAnsi="仿宋" w:eastAsia="仿宋" w:cs="仿宋"/>
          <w:sz w:val="24"/>
          <w:szCs w:val="24"/>
        </w:rPr>
        <w:tab/>
      </w:r>
      <w:r>
        <w:rPr>
          <w:rFonts w:hint="eastAsia" w:ascii="仿宋" w:hAnsi="仿宋" w:eastAsia="仿宋" w:cs="仿宋"/>
          <w:sz w:val="24"/>
          <w:szCs w:val="24"/>
        </w:rPr>
        <w:t>双方一致同意本合同以上条款：</w:t>
      </w:r>
      <w:bookmarkEnd w:id="233"/>
      <w:bookmarkEnd w:id="234"/>
    </w:p>
    <w:p>
      <w:pPr>
        <w:spacing w:line="520" w:lineRule="exact"/>
        <w:ind w:firstLine="420" w:firstLineChars="0"/>
        <w:rPr>
          <w:rFonts w:ascii="仿宋" w:hAnsi="仿宋" w:eastAsia="仿宋" w:cs="仿宋"/>
          <w:szCs w:val="24"/>
        </w:rPr>
      </w:pPr>
      <w:r>
        <w:rPr>
          <w:rFonts w:hint="eastAsia" w:ascii="仿宋" w:hAnsi="仿宋" w:eastAsia="仿宋" w:cs="仿宋"/>
          <w:szCs w:val="24"/>
        </w:rPr>
        <w:t>本协议一式贰份，甲乙双方各执壹份，具有同等法律效力。</w:t>
      </w:r>
    </w:p>
    <w:p>
      <w:pPr>
        <w:spacing w:line="520" w:lineRule="exact"/>
        <w:ind w:firstLine="480"/>
        <w:rPr>
          <w:rFonts w:ascii="仿宋" w:hAnsi="仿宋" w:eastAsia="仿宋" w:cs="仿宋"/>
          <w:szCs w:val="24"/>
        </w:rPr>
      </w:pPr>
      <w:r>
        <w:rPr>
          <w:rFonts w:hint="eastAsia" w:ascii="仿宋" w:hAnsi="仿宋" w:eastAsia="仿宋" w:cs="仿宋"/>
          <w:szCs w:val="24"/>
        </w:rPr>
        <w:t>（以下无正文）</w:t>
      </w:r>
    </w:p>
    <w:p>
      <w:pPr>
        <w:tabs>
          <w:tab w:val="left" w:pos="6627"/>
        </w:tabs>
        <w:spacing w:line="520" w:lineRule="exact"/>
        <w:ind w:left="730" w:leftChars="304" w:firstLine="0" w:firstLineChars="0"/>
        <w:rPr>
          <w:rFonts w:ascii="仿宋" w:hAnsi="仿宋" w:eastAsia="仿宋" w:cs="仿宋"/>
          <w:szCs w:val="24"/>
        </w:rPr>
      </w:pPr>
      <w:r>
        <w:rPr>
          <w:rFonts w:hint="eastAsia" w:ascii="仿宋" w:hAnsi="仿宋" w:eastAsia="仿宋" w:cs="仿宋"/>
          <w:szCs w:val="24"/>
        </w:rPr>
        <w:t xml:space="preserve">甲方（盖章）：厦门开元数字科技有限公司 </w:t>
      </w:r>
    </w:p>
    <w:p>
      <w:pPr>
        <w:tabs>
          <w:tab w:val="left" w:pos="6627"/>
        </w:tabs>
        <w:spacing w:line="520" w:lineRule="exact"/>
        <w:ind w:left="730" w:leftChars="304" w:firstLine="0" w:firstLineChars="0"/>
        <w:jc w:val="left"/>
        <w:rPr>
          <w:rFonts w:ascii="仿宋" w:hAnsi="仿宋" w:eastAsia="仿宋" w:cs="仿宋"/>
          <w:szCs w:val="24"/>
        </w:rPr>
      </w:pPr>
      <w:r>
        <w:rPr>
          <w:rFonts w:hint="eastAsia" w:ascii="仿宋" w:hAnsi="仿宋" w:eastAsia="仿宋" w:cs="仿宋"/>
          <w:szCs w:val="24"/>
        </w:rPr>
        <w:t xml:space="preserve">法定代表人或授权代表：                 </w:t>
      </w:r>
    </w:p>
    <w:p>
      <w:pPr>
        <w:tabs>
          <w:tab w:val="left" w:pos="6627"/>
        </w:tabs>
        <w:spacing w:line="520" w:lineRule="exact"/>
        <w:ind w:left="730" w:leftChars="304" w:firstLine="0" w:firstLineChars="0"/>
        <w:rPr>
          <w:rFonts w:ascii="仿宋" w:hAnsi="仿宋" w:eastAsia="仿宋" w:cs="仿宋"/>
          <w:kern w:val="0"/>
          <w:szCs w:val="24"/>
        </w:rPr>
      </w:pPr>
      <w:r>
        <w:rPr>
          <w:rFonts w:hint="eastAsia" w:ascii="仿宋" w:hAnsi="仿宋" w:eastAsia="仿宋" w:cs="仿宋"/>
          <w:szCs w:val="24"/>
        </w:rPr>
        <w:t xml:space="preserve">联 系 电话：0592-2092153                               </w:t>
      </w:r>
    </w:p>
    <w:p>
      <w:pPr>
        <w:tabs>
          <w:tab w:val="left" w:pos="6627"/>
        </w:tabs>
        <w:spacing w:line="520" w:lineRule="exact"/>
        <w:ind w:left="730" w:leftChars="304" w:firstLine="0" w:firstLineChars="0"/>
        <w:jc w:val="left"/>
        <w:rPr>
          <w:rFonts w:ascii="仿宋" w:hAnsi="仿宋" w:eastAsia="仿宋" w:cs="仿宋"/>
          <w:szCs w:val="24"/>
        </w:rPr>
      </w:pPr>
      <w:r>
        <w:rPr>
          <w:rFonts w:hint="eastAsia" w:ascii="仿宋" w:hAnsi="仿宋" w:eastAsia="仿宋" w:cs="仿宋"/>
          <w:szCs w:val="24"/>
        </w:rPr>
        <w:t>地  址：厦门市思明区台东路153号202单元之八</w:t>
      </w:r>
    </w:p>
    <w:p>
      <w:pPr>
        <w:tabs>
          <w:tab w:val="left" w:pos="6627"/>
        </w:tabs>
        <w:spacing w:line="520" w:lineRule="exact"/>
        <w:ind w:left="730" w:leftChars="304" w:firstLine="0" w:firstLineChars="0"/>
        <w:jc w:val="left"/>
        <w:rPr>
          <w:rFonts w:ascii="仿宋" w:hAnsi="仿宋" w:eastAsia="仿宋" w:cs="仿宋"/>
          <w:szCs w:val="24"/>
        </w:rPr>
      </w:pPr>
      <w:r>
        <w:rPr>
          <w:rFonts w:hint="eastAsia" w:ascii="仿宋" w:hAnsi="仿宋" w:eastAsia="仿宋" w:cs="仿宋"/>
          <w:szCs w:val="24"/>
        </w:rPr>
        <w:t> </w:t>
      </w:r>
    </w:p>
    <w:p>
      <w:pPr>
        <w:tabs>
          <w:tab w:val="left" w:pos="6627"/>
        </w:tabs>
        <w:spacing w:line="520" w:lineRule="exact"/>
        <w:ind w:left="730" w:leftChars="304" w:firstLine="0" w:firstLineChars="0"/>
        <w:rPr>
          <w:rFonts w:ascii="仿宋" w:hAnsi="仿宋" w:eastAsia="仿宋" w:cs="仿宋"/>
          <w:szCs w:val="24"/>
        </w:rPr>
      </w:pPr>
      <w:r>
        <w:rPr>
          <w:rFonts w:hint="eastAsia" w:ascii="仿宋" w:hAnsi="仿宋" w:eastAsia="仿宋" w:cs="仿宋"/>
          <w:szCs w:val="24"/>
        </w:rPr>
        <w:t>乙方（盖章）：</w:t>
      </w:r>
    </w:p>
    <w:p>
      <w:pPr>
        <w:tabs>
          <w:tab w:val="left" w:pos="6627"/>
        </w:tabs>
        <w:spacing w:line="520" w:lineRule="exact"/>
        <w:ind w:left="730" w:leftChars="304" w:firstLine="0" w:firstLineChars="0"/>
        <w:rPr>
          <w:rFonts w:ascii="仿宋" w:hAnsi="仿宋" w:eastAsia="仿宋" w:cs="仿宋"/>
          <w:szCs w:val="24"/>
        </w:rPr>
      </w:pPr>
      <w:r>
        <w:rPr>
          <w:rFonts w:hint="eastAsia" w:ascii="仿宋" w:hAnsi="仿宋" w:eastAsia="仿宋" w:cs="仿宋"/>
          <w:szCs w:val="24"/>
        </w:rPr>
        <w:t>法定代表人或授权代表：</w:t>
      </w:r>
    </w:p>
    <w:p>
      <w:pPr>
        <w:tabs>
          <w:tab w:val="left" w:pos="6627"/>
        </w:tabs>
        <w:spacing w:line="520" w:lineRule="exact"/>
        <w:ind w:left="730" w:leftChars="304" w:firstLine="0" w:firstLineChars="0"/>
        <w:rPr>
          <w:rFonts w:ascii="仿宋" w:hAnsi="仿宋" w:eastAsia="仿宋" w:cs="仿宋"/>
          <w:szCs w:val="24"/>
        </w:rPr>
      </w:pPr>
      <w:r>
        <w:rPr>
          <w:rFonts w:hint="eastAsia" w:ascii="仿宋" w:hAnsi="仿宋" w:eastAsia="仿宋" w:cs="仿宋"/>
          <w:szCs w:val="24"/>
        </w:rPr>
        <w:t>联 系 电话：</w:t>
      </w:r>
    </w:p>
    <w:p>
      <w:pPr>
        <w:tabs>
          <w:tab w:val="left" w:pos="6627"/>
        </w:tabs>
        <w:spacing w:line="520" w:lineRule="exact"/>
        <w:ind w:left="730" w:leftChars="304" w:firstLine="0" w:firstLineChars="0"/>
        <w:jc w:val="left"/>
        <w:rPr>
          <w:rFonts w:ascii="仿宋" w:hAnsi="仿宋" w:eastAsia="仿宋" w:cs="仿宋"/>
          <w:szCs w:val="24"/>
        </w:rPr>
      </w:pPr>
      <w:r>
        <w:rPr>
          <w:rFonts w:hint="eastAsia" w:ascii="仿宋" w:hAnsi="仿宋" w:eastAsia="仿宋" w:cs="仿宋"/>
          <w:szCs w:val="24"/>
        </w:rPr>
        <w:t>地  址：</w:t>
      </w:r>
    </w:p>
    <w:p>
      <w:pPr>
        <w:tabs>
          <w:tab w:val="left" w:pos="6627"/>
        </w:tabs>
        <w:spacing w:line="520" w:lineRule="exact"/>
        <w:ind w:firstLine="0" w:firstLineChars="0"/>
        <w:rPr>
          <w:rFonts w:ascii="仿宋" w:hAnsi="仿宋" w:eastAsia="仿宋" w:cs="仿宋"/>
          <w:szCs w:val="24"/>
        </w:rPr>
      </w:pPr>
    </w:p>
    <w:p>
      <w:pPr>
        <w:widowControl/>
        <w:tabs>
          <w:tab w:val="left" w:pos="640"/>
          <w:tab w:val="left" w:pos="1832"/>
          <w:tab w:val="left" w:pos="6675"/>
        </w:tabs>
        <w:spacing w:line="520" w:lineRule="exact"/>
        <w:ind w:left="730" w:leftChars="304" w:firstLine="0" w:firstLineChars="0"/>
        <w:jc w:val="left"/>
        <w:rPr>
          <w:rFonts w:ascii="仿宋" w:hAnsi="仿宋" w:eastAsia="仿宋" w:cs="仿宋"/>
          <w:szCs w:val="24"/>
        </w:rPr>
      </w:pPr>
      <w:r>
        <w:rPr>
          <w:rFonts w:hint="eastAsia" w:ascii="仿宋" w:hAnsi="仿宋" w:eastAsia="仿宋" w:cs="仿宋"/>
          <w:szCs w:val="24"/>
        </w:rPr>
        <w:t xml:space="preserve">签订时间：2022年08月   日  </w:t>
      </w:r>
    </w:p>
    <w:p>
      <w:pPr>
        <w:widowControl/>
        <w:tabs>
          <w:tab w:val="left" w:pos="640"/>
          <w:tab w:val="left" w:pos="1832"/>
          <w:tab w:val="left" w:pos="6675"/>
        </w:tabs>
        <w:spacing w:line="520" w:lineRule="exact"/>
        <w:ind w:left="730" w:leftChars="304" w:firstLine="0" w:firstLineChars="0"/>
        <w:jc w:val="left"/>
        <w:rPr>
          <w:rFonts w:ascii="仿宋" w:hAnsi="仿宋" w:eastAsia="仿宋" w:cs="仿宋"/>
          <w:szCs w:val="24"/>
        </w:rPr>
      </w:pPr>
      <w:r>
        <w:rPr>
          <w:rFonts w:hint="eastAsia" w:ascii="仿宋" w:hAnsi="仿宋" w:eastAsia="仿宋" w:cs="仿宋"/>
          <w:szCs w:val="24"/>
        </w:rPr>
        <w:t>签订地点：福建省厦门市思明区台东路68号18层1801单元</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0" w:footer="1587" w:gutter="0"/>
      <w:pgNumType w:start="0"/>
      <w:cols w:space="425" w:num="1"/>
      <w:titlePg/>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Lucida Grande">
    <w:altName w:val="Times New Roman"/>
    <w:panose1 w:val="00000000000000000000"/>
    <w:charset w:val="00"/>
    <w:family w:val="roman"/>
    <w:pitch w:val="default"/>
    <w:sig w:usb0="00000000" w:usb1="00000000" w:usb2="00000000" w:usb3="00000000" w:csb0="00000000" w:csb1="00000000"/>
  </w:font>
  <w:font w:name="ヒラギノ角ゴ Pro W3">
    <w:altName w:val="MS Gothic"/>
    <w:panose1 w:val="00000000000000000000"/>
    <w:charset w:val="80"/>
    <w:family w:val="auto"/>
    <w:pitch w:val="default"/>
    <w:sig w:usb0="00000000" w:usb1="00000000" w:usb2="00000000" w:usb3="00000000" w:csb0="00160000" w:csb1="00000000"/>
  </w:font>
  <w:font w:name="Times">
    <w:altName w:val="Times New Roman"/>
    <w:panose1 w:val="020206030504050203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rPr>
        <w:rFonts w:asciiTheme="minorEastAsia" w:hAnsiTheme="minorEastAsia" w:eastAsiaTheme="minorEastAsia"/>
      </w:rPr>
    </w:pPr>
    <w:r>
      <w:rPr>
        <w:rFonts w:asciiTheme="minorEastAsia" w:hAnsiTheme="minorEastAsia" w:eastAsiaTheme="minorEastAsia"/>
      </w:rPr>
      <w:t xml:space="preserve">                                                                        </w:t>
    </w:r>
    <w:r>
      <w:rPr>
        <w:rFonts w:hint="eastAsia" w:asciiTheme="minorEastAsia" w:hAnsiTheme="minorEastAsia" w:eastAsiaTheme="minorEastAsia"/>
      </w:rPr>
      <w:t xml:space="preserve">第 </w:t>
    </w:r>
    <w:r>
      <w:rPr>
        <w:rFonts w:asciiTheme="minorEastAsia" w:hAnsiTheme="minorEastAsia" w:eastAsiaTheme="minorEastAsia"/>
      </w:rPr>
      <w:fldChar w:fldCharType="begin"/>
    </w:r>
    <w:r>
      <w:rPr>
        <w:rFonts w:asciiTheme="minorEastAsia" w:hAnsiTheme="minorEastAsia" w:eastAsiaTheme="minorEastAsia"/>
      </w:rPr>
      <w:instrText xml:space="preserve"> PAGE </w:instrText>
    </w:r>
    <w:r>
      <w:rPr>
        <w:rFonts w:asciiTheme="minorEastAsia" w:hAnsiTheme="minorEastAsia" w:eastAsiaTheme="minorEastAsia"/>
      </w:rPr>
      <w:fldChar w:fldCharType="separate"/>
    </w:r>
    <w:r>
      <w:rPr>
        <w:rFonts w:asciiTheme="minorEastAsia" w:hAnsiTheme="minorEastAsia" w:eastAsiaTheme="minorEastAsia"/>
      </w:rPr>
      <w:t>14</w:t>
    </w:r>
    <w:r>
      <w:rPr>
        <w:rFonts w:asciiTheme="minorEastAsia" w:hAnsiTheme="minorEastAsia" w:eastAsiaTheme="minorEastAsia"/>
      </w:rPr>
      <w:fldChar w:fldCharType="end"/>
    </w:r>
    <w:r>
      <w:rPr>
        <w:rFonts w:hint="eastAsia" w:asciiTheme="minorEastAsia" w:hAnsiTheme="minorEastAsia" w:eastAsiaTheme="minorEastAsia"/>
      </w:rPr>
      <w:t xml:space="preserve"> 页 共 </w:t>
    </w:r>
    <w:r>
      <w:rPr>
        <w:rFonts w:asciiTheme="minorEastAsia" w:hAnsiTheme="minorEastAsia" w:eastAsiaTheme="minorEastAsia"/>
      </w:rPr>
      <w:fldChar w:fldCharType="begin"/>
    </w:r>
    <w:r>
      <w:rPr>
        <w:rFonts w:asciiTheme="minorEastAsia" w:hAnsiTheme="minorEastAsia" w:eastAsiaTheme="minorEastAsia"/>
      </w:rPr>
      <w:instrText xml:space="preserve"> NUMPAGES </w:instrText>
    </w:r>
    <w:r>
      <w:rPr>
        <w:rFonts w:asciiTheme="minorEastAsia" w:hAnsiTheme="minorEastAsia" w:eastAsiaTheme="minorEastAsia"/>
      </w:rPr>
      <w:fldChar w:fldCharType="separate"/>
    </w:r>
    <w:r>
      <w:rPr>
        <w:rFonts w:asciiTheme="minorEastAsia" w:hAnsiTheme="minorEastAsia" w:eastAsiaTheme="minorEastAsia"/>
      </w:rPr>
      <w:t>71</w:t>
    </w:r>
    <w:r>
      <w:rPr>
        <w:rFonts w:asciiTheme="minorEastAsia" w:hAnsiTheme="minorEastAsia" w:eastAsiaTheme="minorEastAsia"/>
      </w:rPr>
      <w:fldChar w:fldCharType="end"/>
    </w:r>
    <w:r>
      <w:rPr>
        <w:rFonts w:hint="eastAsia" w:asciiTheme="minorEastAsia" w:hAnsiTheme="minorEastAsia" w:eastAsiaTheme="minorEastAsia"/>
      </w:rPr>
      <w:t xml:space="preserve"> 页</w:t>
    </w:r>
    <w:r>
      <w:rPr>
        <w:rFonts w:asciiTheme="minorEastAsia" w:hAnsiTheme="minorEastAsia" w:eastAsiaTheme="minorEastAsia"/>
      </w:rPr>
      <w:t xml:space="preserve"> </w:t>
    </w:r>
    <w:r>
      <w:rPr>
        <w:rFonts w:hint="eastAsia" w:asciiTheme="minorEastAsia" w:hAnsiTheme="minorEastAsia" w:eastAsiaTheme="minor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single" w:color="auto" w:sz="6" w:space="18"/>
      </w:pBdr>
      <w:ind w:firstLine="0" w:firstLineChars="0"/>
      <w:jc w:val="both"/>
    </w:pPr>
    <w:r>
      <w:t xml:space="preserve">      </w:t>
    </w:r>
    <w:r>
      <w:rPr>
        <w:rFonts w:hint="eastAsia"/>
      </w:rPr>
      <w:t xml:space="preserve"> </w:t>
    </w:r>
    <w:r>
      <w:t xml:space="preserve">                                               </w:t>
    </w:r>
    <w:r>
      <w:rPr>
        <w:rFonts w:hint="eastAsia"/>
      </w:rPr>
      <w:t>思明控股统一协同办公系统招标文件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F06FFD"/>
    <w:multiLevelType w:val="singleLevel"/>
    <w:tmpl w:val="93F06FFD"/>
    <w:lvl w:ilvl="0" w:tentative="0">
      <w:start w:val="3"/>
      <w:numFmt w:val="decimal"/>
      <w:suff w:val="nothing"/>
      <w:lvlText w:val="%1、"/>
      <w:lvlJc w:val="left"/>
    </w:lvl>
  </w:abstractNum>
  <w:abstractNum w:abstractNumId="1">
    <w:nsid w:val="976733EE"/>
    <w:multiLevelType w:val="singleLevel"/>
    <w:tmpl w:val="976733EE"/>
    <w:lvl w:ilvl="0" w:tentative="0">
      <w:start w:val="1"/>
      <w:numFmt w:val="chineseCounting"/>
      <w:suff w:val="nothing"/>
      <w:lvlText w:val="（%1）"/>
      <w:lvlJc w:val="left"/>
      <w:pPr>
        <w:ind w:left="0" w:firstLine="420"/>
      </w:pPr>
      <w:rPr>
        <w:rFonts w:hint="eastAsia"/>
      </w:rPr>
    </w:lvl>
  </w:abstractNum>
  <w:abstractNum w:abstractNumId="2">
    <w:nsid w:val="9A687093"/>
    <w:multiLevelType w:val="singleLevel"/>
    <w:tmpl w:val="9A687093"/>
    <w:lvl w:ilvl="0" w:tentative="0">
      <w:start w:val="1"/>
      <w:numFmt w:val="decimal"/>
      <w:lvlText w:val="(%1)"/>
      <w:lvlJc w:val="left"/>
      <w:pPr>
        <w:ind w:left="425" w:hanging="425"/>
      </w:pPr>
      <w:rPr>
        <w:rFonts w:hint="default"/>
      </w:rPr>
    </w:lvl>
  </w:abstractNum>
  <w:abstractNum w:abstractNumId="3">
    <w:nsid w:val="A02D3C02"/>
    <w:multiLevelType w:val="singleLevel"/>
    <w:tmpl w:val="A02D3C02"/>
    <w:lvl w:ilvl="0" w:tentative="0">
      <w:start w:val="1"/>
      <w:numFmt w:val="chineseCounting"/>
      <w:suff w:val="nothing"/>
      <w:lvlText w:val="（%1）"/>
      <w:lvlJc w:val="left"/>
      <w:pPr>
        <w:ind w:left="0" w:firstLine="420"/>
      </w:pPr>
      <w:rPr>
        <w:rFonts w:hint="eastAsia"/>
      </w:rPr>
    </w:lvl>
  </w:abstractNum>
  <w:abstractNum w:abstractNumId="4">
    <w:nsid w:val="A32640DE"/>
    <w:multiLevelType w:val="singleLevel"/>
    <w:tmpl w:val="A32640DE"/>
    <w:lvl w:ilvl="0" w:tentative="0">
      <w:start w:val="1"/>
      <w:numFmt w:val="decimal"/>
      <w:lvlText w:val="(%1)"/>
      <w:lvlJc w:val="left"/>
      <w:pPr>
        <w:ind w:left="425" w:hanging="425"/>
      </w:pPr>
      <w:rPr>
        <w:rFonts w:hint="default"/>
      </w:rPr>
    </w:lvl>
  </w:abstractNum>
  <w:abstractNum w:abstractNumId="5">
    <w:nsid w:val="A4035F88"/>
    <w:multiLevelType w:val="singleLevel"/>
    <w:tmpl w:val="A4035F88"/>
    <w:lvl w:ilvl="0" w:tentative="0">
      <w:start w:val="1"/>
      <w:numFmt w:val="decimal"/>
      <w:lvlText w:val="(%1)"/>
      <w:lvlJc w:val="left"/>
      <w:pPr>
        <w:ind w:left="425" w:hanging="425"/>
      </w:pPr>
      <w:rPr>
        <w:rFonts w:hint="default"/>
      </w:rPr>
    </w:lvl>
  </w:abstractNum>
  <w:abstractNum w:abstractNumId="6">
    <w:nsid w:val="AB8C7CD9"/>
    <w:multiLevelType w:val="singleLevel"/>
    <w:tmpl w:val="AB8C7CD9"/>
    <w:lvl w:ilvl="0" w:tentative="0">
      <w:start w:val="1"/>
      <w:numFmt w:val="decimal"/>
      <w:lvlText w:val="(%1)"/>
      <w:lvlJc w:val="left"/>
      <w:pPr>
        <w:ind w:left="425" w:hanging="425"/>
      </w:pPr>
      <w:rPr>
        <w:rFonts w:hint="default"/>
      </w:rPr>
    </w:lvl>
  </w:abstractNum>
  <w:abstractNum w:abstractNumId="7">
    <w:nsid w:val="C27068A5"/>
    <w:multiLevelType w:val="singleLevel"/>
    <w:tmpl w:val="C27068A5"/>
    <w:lvl w:ilvl="0" w:tentative="0">
      <w:start w:val="1"/>
      <w:numFmt w:val="chineseCounting"/>
      <w:suff w:val="nothing"/>
      <w:lvlText w:val="（%1）"/>
      <w:lvlJc w:val="left"/>
      <w:pPr>
        <w:ind w:left="0" w:firstLine="420"/>
      </w:pPr>
      <w:rPr>
        <w:rFonts w:hint="eastAsia"/>
      </w:rPr>
    </w:lvl>
  </w:abstractNum>
  <w:abstractNum w:abstractNumId="8">
    <w:nsid w:val="CB12CE99"/>
    <w:multiLevelType w:val="singleLevel"/>
    <w:tmpl w:val="CB12CE99"/>
    <w:lvl w:ilvl="0" w:tentative="0">
      <w:start w:val="1"/>
      <w:numFmt w:val="chineseCounting"/>
      <w:suff w:val="nothing"/>
      <w:lvlText w:val="（%1）"/>
      <w:lvlJc w:val="left"/>
      <w:pPr>
        <w:ind w:left="0" w:firstLine="420"/>
      </w:pPr>
      <w:rPr>
        <w:rFonts w:hint="eastAsia"/>
      </w:rPr>
    </w:lvl>
  </w:abstractNum>
  <w:abstractNum w:abstractNumId="9">
    <w:nsid w:val="CF08C06F"/>
    <w:multiLevelType w:val="singleLevel"/>
    <w:tmpl w:val="CF08C06F"/>
    <w:lvl w:ilvl="0" w:tentative="0">
      <w:start w:val="1"/>
      <w:numFmt w:val="decimal"/>
      <w:lvlText w:val="(%1)"/>
      <w:lvlJc w:val="left"/>
      <w:pPr>
        <w:ind w:left="425" w:hanging="425"/>
      </w:pPr>
      <w:rPr>
        <w:rFonts w:hint="default"/>
      </w:rPr>
    </w:lvl>
  </w:abstractNum>
  <w:abstractNum w:abstractNumId="10">
    <w:nsid w:val="D2E302F3"/>
    <w:multiLevelType w:val="singleLevel"/>
    <w:tmpl w:val="D2E302F3"/>
    <w:lvl w:ilvl="0" w:tentative="0">
      <w:start w:val="4"/>
      <w:numFmt w:val="chineseCounting"/>
      <w:suff w:val="nothing"/>
      <w:lvlText w:val="（%1）"/>
      <w:lvlJc w:val="left"/>
      <w:pPr>
        <w:ind w:left="0" w:firstLine="420"/>
      </w:pPr>
      <w:rPr>
        <w:rFonts w:hint="eastAsia"/>
      </w:rPr>
    </w:lvl>
  </w:abstractNum>
  <w:abstractNum w:abstractNumId="11">
    <w:nsid w:val="DF14BD6D"/>
    <w:multiLevelType w:val="singleLevel"/>
    <w:tmpl w:val="DF14BD6D"/>
    <w:lvl w:ilvl="0" w:tentative="0">
      <w:start w:val="1"/>
      <w:numFmt w:val="chineseCounting"/>
      <w:suff w:val="nothing"/>
      <w:lvlText w:val="（%1）"/>
      <w:lvlJc w:val="left"/>
      <w:pPr>
        <w:ind w:left="0" w:firstLine="420"/>
      </w:pPr>
      <w:rPr>
        <w:rFonts w:hint="eastAsia"/>
      </w:rPr>
    </w:lvl>
  </w:abstractNum>
  <w:abstractNum w:abstractNumId="12">
    <w:nsid w:val="ECE8AD65"/>
    <w:multiLevelType w:val="singleLevel"/>
    <w:tmpl w:val="ECE8AD65"/>
    <w:lvl w:ilvl="0" w:tentative="0">
      <w:start w:val="2"/>
      <w:numFmt w:val="chineseCounting"/>
      <w:suff w:val="nothing"/>
      <w:lvlText w:val="（%1）"/>
      <w:lvlJc w:val="left"/>
      <w:pPr>
        <w:tabs>
          <w:tab w:val="left" w:pos="0"/>
        </w:tabs>
        <w:ind w:left="0" w:firstLine="420"/>
      </w:pPr>
      <w:rPr>
        <w:rFonts w:hint="eastAsia"/>
      </w:rPr>
    </w:lvl>
  </w:abstractNum>
  <w:abstractNum w:abstractNumId="13">
    <w:nsid w:val="EEC98547"/>
    <w:multiLevelType w:val="singleLevel"/>
    <w:tmpl w:val="EEC98547"/>
    <w:lvl w:ilvl="0" w:tentative="0">
      <w:start w:val="1"/>
      <w:numFmt w:val="decimal"/>
      <w:lvlText w:val="(%1)"/>
      <w:lvlJc w:val="left"/>
      <w:pPr>
        <w:ind w:left="425" w:hanging="425"/>
      </w:pPr>
      <w:rPr>
        <w:rFonts w:hint="default"/>
      </w:rPr>
    </w:lvl>
  </w:abstractNum>
  <w:abstractNum w:abstractNumId="14">
    <w:nsid w:val="F5F3A6FA"/>
    <w:multiLevelType w:val="singleLevel"/>
    <w:tmpl w:val="F5F3A6FA"/>
    <w:lvl w:ilvl="0" w:tentative="0">
      <w:start w:val="1"/>
      <w:numFmt w:val="chineseCounting"/>
      <w:suff w:val="nothing"/>
      <w:lvlText w:val="（%1）"/>
      <w:lvlJc w:val="left"/>
      <w:pPr>
        <w:ind w:left="0" w:firstLine="420"/>
      </w:pPr>
      <w:rPr>
        <w:rFonts w:hint="eastAsia"/>
      </w:rPr>
    </w:lvl>
  </w:abstractNum>
  <w:abstractNum w:abstractNumId="15">
    <w:nsid w:val="F8F9B606"/>
    <w:multiLevelType w:val="singleLevel"/>
    <w:tmpl w:val="F8F9B606"/>
    <w:lvl w:ilvl="0" w:tentative="0">
      <w:start w:val="1"/>
      <w:numFmt w:val="chineseCounting"/>
      <w:suff w:val="nothing"/>
      <w:lvlText w:val="（%1）"/>
      <w:lvlJc w:val="left"/>
      <w:pPr>
        <w:ind w:left="0" w:firstLine="420"/>
      </w:pPr>
      <w:rPr>
        <w:rFonts w:hint="eastAsia"/>
      </w:rPr>
    </w:lvl>
  </w:abstractNum>
  <w:abstractNum w:abstractNumId="16">
    <w:nsid w:val="FCDFF2B7"/>
    <w:multiLevelType w:val="singleLevel"/>
    <w:tmpl w:val="FCDFF2B7"/>
    <w:lvl w:ilvl="0" w:tentative="0">
      <w:start w:val="1"/>
      <w:numFmt w:val="decimal"/>
      <w:lvlText w:val="(%1)"/>
      <w:lvlJc w:val="left"/>
      <w:pPr>
        <w:ind w:left="425" w:hanging="425"/>
      </w:pPr>
      <w:rPr>
        <w:rFonts w:hint="default"/>
      </w:rPr>
    </w:lvl>
  </w:abstractNum>
  <w:abstractNum w:abstractNumId="17">
    <w:nsid w:val="00000010"/>
    <w:multiLevelType w:val="multilevel"/>
    <w:tmpl w:val="0000001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01746B51"/>
    <w:multiLevelType w:val="multilevel"/>
    <w:tmpl w:val="01746B51"/>
    <w:lvl w:ilvl="0" w:tentative="0">
      <w:start w:val="1"/>
      <w:numFmt w:val="bullet"/>
      <w:lvlText w:val=""/>
      <w:lvlJc w:val="left"/>
      <w:pPr>
        <w:ind w:left="1271" w:hanging="420"/>
      </w:pPr>
      <w:rPr>
        <w:rFonts w:hint="default" w:ascii="Symbol" w:hAnsi="Symbol"/>
      </w:rPr>
    </w:lvl>
    <w:lvl w:ilvl="1" w:tentative="0">
      <w:start w:val="1"/>
      <w:numFmt w:val="bullet"/>
      <w:lvlText w:val=""/>
      <w:lvlJc w:val="left"/>
      <w:pPr>
        <w:ind w:left="1691" w:hanging="420"/>
      </w:pPr>
      <w:rPr>
        <w:rFonts w:hint="default" w:ascii="Wingdings" w:hAnsi="Wingdings"/>
      </w:rPr>
    </w:lvl>
    <w:lvl w:ilvl="2" w:tentative="0">
      <w:start w:val="1"/>
      <w:numFmt w:val="bullet"/>
      <w:lvlText w:val=""/>
      <w:lvlJc w:val="left"/>
      <w:pPr>
        <w:ind w:left="2111" w:hanging="420"/>
      </w:pPr>
      <w:rPr>
        <w:rFonts w:hint="default" w:ascii="Wingdings" w:hAnsi="Wingdings"/>
      </w:rPr>
    </w:lvl>
    <w:lvl w:ilvl="3" w:tentative="0">
      <w:start w:val="1"/>
      <w:numFmt w:val="bullet"/>
      <w:lvlText w:val=""/>
      <w:lvlJc w:val="left"/>
      <w:pPr>
        <w:ind w:left="2531" w:hanging="420"/>
      </w:pPr>
      <w:rPr>
        <w:rFonts w:hint="default" w:ascii="Wingdings" w:hAnsi="Wingdings"/>
      </w:rPr>
    </w:lvl>
    <w:lvl w:ilvl="4" w:tentative="0">
      <w:start w:val="1"/>
      <w:numFmt w:val="bullet"/>
      <w:lvlText w:val=""/>
      <w:lvlJc w:val="left"/>
      <w:pPr>
        <w:ind w:left="2951" w:hanging="420"/>
      </w:pPr>
      <w:rPr>
        <w:rFonts w:hint="default" w:ascii="Wingdings" w:hAnsi="Wingdings"/>
      </w:rPr>
    </w:lvl>
    <w:lvl w:ilvl="5" w:tentative="0">
      <w:start w:val="1"/>
      <w:numFmt w:val="bullet"/>
      <w:lvlText w:val=""/>
      <w:lvlJc w:val="left"/>
      <w:pPr>
        <w:ind w:left="3371" w:hanging="420"/>
      </w:pPr>
      <w:rPr>
        <w:rFonts w:hint="default" w:ascii="Wingdings" w:hAnsi="Wingdings"/>
      </w:rPr>
    </w:lvl>
    <w:lvl w:ilvl="6" w:tentative="0">
      <w:start w:val="1"/>
      <w:numFmt w:val="bullet"/>
      <w:lvlText w:val=""/>
      <w:lvlJc w:val="left"/>
      <w:pPr>
        <w:ind w:left="3791" w:hanging="420"/>
      </w:pPr>
      <w:rPr>
        <w:rFonts w:hint="default" w:ascii="Wingdings" w:hAnsi="Wingdings"/>
      </w:rPr>
    </w:lvl>
    <w:lvl w:ilvl="7" w:tentative="0">
      <w:start w:val="1"/>
      <w:numFmt w:val="bullet"/>
      <w:lvlText w:val=""/>
      <w:lvlJc w:val="left"/>
      <w:pPr>
        <w:ind w:left="4211" w:hanging="420"/>
      </w:pPr>
      <w:rPr>
        <w:rFonts w:hint="default" w:ascii="Wingdings" w:hAnsi="Wingdings"/>
      </w:rPr>
    </w:lvl>
    <w:lvl w:ilvl="8" w:tentative="0">
      <w:start w:val="1"/>
      <w:numFmt w:val="bullet"/>
      <w:lvlText w:val=""/>
      <w:lvlJc w:val="left"/>
      <w:pPr>
        <w:ind w:left="4631" w:hanging="420"/>
      </w:pPr>
      <w:rPr>
        <w:rFonts w:hint="default" w:ascii="Wingdings" w:hAnsi="Wingdings"/>
      </w:rPr>
    </w:lvl>
  </w:abstractNum>
  <w:abstractNum w:abstractNumId="19">
    <w:nsid w:val="078B1703"/>
    <w:multiLevelType w:val="multilevel"/>
    <w:tmpl w:val="078B1703"/>
    <w:lvl w:ilvl="0" w:tentative="0">
      <w:start w:val="1"/>
      <w:numFmt w:val="bullet"/>
      <w:lvlText w:val=""/>
      <w:lvlJc w:val="left"/>
      <w:pPr>
        <w:ind w:left="1271" w:hanging="420"/>
      </w:pPr>
      <w:rPr>
        <w:rFonts w:hint="default" w:ascii="Symbol" w:hAnsi="Symbol"/>
      </w:rPr>
    </w:lvl>
    <w:lvl w:ilvl="1" w:tentative="0">
      <w:start w:val="1"/>
      <w:numFmt w:val="bullet"/>
      <w:lvlText w:val=""/>
      <w:lvlJc w:val="left"/>
      <w:pPr>
        <w:ind w:left="1691" w:hanging="420"/>
      </w:pPr>
      <w:rPr>
        <w:rFonts w:hint="default" w:ascii="Wingdings" w:hAnsi="Wingdings"/>
      </w:rPr>
    </w:lvl>
    <w:lvl w:ilvl="2" w:tentative="0">
      <w:start w:val="1"/>
      <w:numFmt w:val="bullet"/>
      <w:lvlText w:val=""/>
      <w:lvlJc w:val="left"/>
      <w:pPr>
        <w:ind w:left="2111" w:hanging="420"/>
      </w:pPr>
      <w:rPr>
        <w:rFonts w:hint="default" w:ascii="Wingdings" w:hAnsi="Wingdings"/>
      </w:rPr>
    </w:lvl>
    <w:lvl w:ilvl="3" w:tentative="0">
      <w:start w:val="1"/>
      <w:numFmt w:val="bullet"/>
      <w:lvlText w:val=""/>
      <w:lvlJc w:val="left"/>
      <w:pPr>
        <w:ind w:left="2531" w:hanging="420"/>
      </w:pPr>
      <w:rPr>
        <w:rFonts w:hint="default" w:ascii="Wingdings" w:hAnsi="Wingdings"/>
      </w:rPr>
    </w:lvl>
    <w:lvl w:ilvl="4" w:tentative="0">
      <w:start w:val="1"/>
      <w:numFmt w:val="bullet"/>
      <w:lvlText w:val=""/>
      <w:lvlJc w:val="left"/>
      <w:pPr>
        <w:ind w:left="2951" w:hanging="420"/>
      </w:pPr>
      <w:rPr>
        <w:rFonts w:hint="default" w:ascii="Wingdings" w:hAnsi="Wingdings"/>
      </w:rPr>
    </w:lvl>
    <w:lvl w:ilvl="5" w:tentative="0">
      <w:start w:val="1"/>
      <w:numFmt w:val="bullet"/>
      <w:lvlText w:val=""/>
      <w:lvlJc w:val="left"/>
      <w:pPr>
        <w:ind w:left="3371" w:hanging="420"/>
      </w:pPr>
      <w:rPr>
        <w:rFonts w:hint="default" w:ascii="Wingdings" w:hAnsi="Wingdings"/>
      </w:rPr>
    </w:lvl>
    <w:lvl w:ilvl="6" w:tentative="0">
      <w:start w:val="1"/>
      <w:numFmt w:val="bullet"/>
      <w:lvlText w:val=""/>
      <w:lvlJc w:val="left"/>
      <w:pPr>
        <w:ind w:left="3791" w:hanging="420"/>
      </w:pPr>
      <w:rPr>
        <w:rFonts w:hint="default" w:ascii="Wingdings" w:hAnsi="Wingdings"/>
      </w:rPr>
    </w:lvl>
    <w:lvl w:ilvl="7" w:tentative="0">
      <w:start w:val="1"/>
      <w:numFmt w:val="bullet"/>
      <w:lvlText w:val=""/>
      <w:lvlJc w:val="left"/>
      <w:pPr>
        <w:ind w:left="4211" w:hanging="420"/>
      </w:pPr>
      <w:rPr>
        <w:rFonts w:hint="default" w:ascii="Wingdings" w:hAnsi="Wingdings"/>
      </w:rPr>
    </w:lvl>
    <w:lvl w:ilvl="8" w:tentative="0">
      <w:start w:val="1"/>
      <w:numFmt w:val="bullet"/>
      <w:lvlText w:val=""/>
      <w:lvlJc w:val="left"/>
      <w:pPr>
        <w:ind w:left="4631" w:hanging="420"/>
      </w:pPr>
      <w:rPr>
        <w:rFonts w:hint="default" w:ascii="Wingdings" w:hAnsi="Wingdings"/>
      </w:rPr>
    </w:lvl>
  </w:abstractNum>
  <w:abstractNum w:abstractNumId="20">
    <w:nsid w:val="126E5CAE"/>
    <w:multiLevelType w:val="singleLevel"/>
    <w:tmpl w:val="126E5CAE"/>
    <w:lvl w:ilvl="0" w:tentative="0">
      <w:start w:val="1"/>
      <w:numFmt w:val="decimal"/>
      <w:lvlText w:val="(%1)"/>
      <w:lvlJc w:val="left"/>
      <w:pPr>
        <w:ind w:left="425" w:hanging="425"/>
      </w:pPr>
      <w:rPr>
        <w:rFonts w:hint="default"/>
      </w:rPr>
    </w:lvl>
  </w:abstractNum>
  <w:abstractNum w:abstractNumId="21">
    <w:nsid w:val="13AB49CA"/>
    <w:multiLevelType w:val="multilevel"/>
    <w:tmpl w:val="13AB49CA"/>
    <w:lvl w:ilvl="0" w:tentative="0">
      <w:start w:val="1"/>
      <w:numFmt w:val="chineseCountingThousand"/>
      <w:pStyle w:val="2"/>
      <w:lvlText w:val="第%1部分 "/>
      <w:lvlJc w:val="left"/>
      <w:pPr>
        <w:ind w:left="420" w:hanging="420"/>
      </w:pPr>
      <w:rPr>
        <w:rFonts w:hint="eastAsia" w:ascii="方正小标宋简体" w:hAnsi="方正小标宋简体" w:eastAsia="方正小标宋简体" w:cs="方正小标宋简体"/>
        <w:b w:val="0"/>
        <w:bCs/>
        <w:i w:val="0"/>
        <w:iCs w:val="0"/>
        <w:caps w:val="0"/>
        <w:smallCaps w:val="0"/>
        <w:strike w:val="0"/>
        <w:dstrike w:val="0"/>
        <w:outline w:val="0"/>
        <w:shadow w:val="0"/>
        <w:emboss w:val="0"/>
        <w:imprint w:val="0"/>
        <w:vanish w:val="0"/>
        <w:spacing w:val="0"/>
        <w:position w:val="0"/>
        <w:sz w:val="44"/>
        <w:szCs w:val="4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1" w:tentative="0">
      <w:start w:val="1"/>
      <w:numFmt w:val="decimal"/>
      <w:pStyle w:val="3"/>
      <w:isLgl/>
      <w:lvlText w:val="%1.%2"/>
      <w:lvlJc w:val="left"/>
      <w:pPr>
        <w:ind w:left="576" w:hanging="576"/>
      </w:pPr>
      <w:rPr>
        <w:rFonts w:hint="eastAsia"/>
        <w:sz w:val="28"/>
        <w:szCs w:val="28"/>
      </w:rPr>
    </w:lvl>
    <w:lvl w:ilvl="2" w:tentative="0">
      <w:start w:val="1"/>
      <w:numFmt w:val="decimal"/>
      <w:pStyle w:val="4"/>
      <w:isLgl/>
      <w:lvlText w:val="%1.%2.%3"/>
      <w:lvlJc w:val="left"/>
      <w:pPr>
        <w:ind w:left="720" w:hanging="720"/>
      </w:pPr>
      <w:rPr>
        <w:rFonts w:hint="eastAsia"/>
      </w:rPr>
    </w:lvl>
    <w:lvl w:ilvl="3" w:tentative="0">
      <w:start w:val="1"/>
      <w:numFmt w:val="decimal"/>
      <w:pStyle w:val="5"/>
      <w:isLgl/>
      <w:lvlText w:val="%1.%2.%3.%4"/>
      <w:lvlJc w:val="left"/>
      <w:pPr>
        <w:ind w:left="864" w:hanging="864"/>
      </w:pPr>
      <w:rPr>
        <w:rFonts w:hint="eastAsia"/>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abstractNum w:abstractNumId="22">
    <w:nsid w:val="19307A62"/>
    <w:multiLevelType w:val="multilevel"/>
    <w:tmpl w:val="19307A6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3">
    <w:nsid w:val="196A63AC"/>
    <w:multiLevelType w:val="singleLevel"/>
    <w:tmpl w:val="196A63AC"/>
    <w:lvl w:ilvl="0" w:tentative="0">
      <w:start w:val="1"/>
      <w:numFmt w:val="decimal"/>
      <w:lvlText w:val="(%1)"/>
      <w:lvlJc w:val="left"/>
      <w:pPr>
        <w:ind w:left="425" w:hanging="425"/>
      </w:pPr>
      <w:rPr>
        <w:rFonts w:hint="default"/>
      </w:rPr>
    </w:lvl>
  </w:abstractNum>
  <w:abstractNum w:abstractNumId="24">
    <w:nsid w:val="1CAC8C94"/>
    <w:multiLevelType w:val="multilevel"/>
    <w:tmpl w:val="1CAC8C94"/>
    <w:lvl w:ilvl="0" w:tentative="0">
      <w:start w:val="1"/>
      <w:numFmt w:val="decimal"/>
      <w:lvlText w:val="3.%1"/>
      <w:lvlJc w:val="left"/>
      <w:pPr>
        <w:tabs>
          <w:tab w:val="left" w:pos="958"/>
        </w:tabs>
        <w:ind w:left="958" w:hanging="419"/>
      </w:pPr>
      <w:rPr>
        <w:rFonts w:hint="default" w:ascii="宋体" w:hAnsi="宋体" w:eastAsia="宋体" w:cs="宋体"/>
      </w:rPr>
    </w:lvl>
    <w:lvl w:ilvl="1" w:tentative="0">
      <w:start w:val="1"/>
      <w:numFmt w:val="decimal"/>
      <w:lvlText w:val="%1.%2"/>
      <w:lvlJc w:val="left"/>
      <w:pPr>
        <w:tabs>
          <w:tab w:val="left" w:pos="850"/>
        </w:tabs>
        <w:ind w:left="1417" w:hanging="567"/>
      </w:pPr>
      <w:rPr>
        <w:rFonts w:hint="default" w:ascii="宋体" w:hAnsi="宋体" w:eastAsia="宋体" w:cs="宋体"/>
        <w:color w:val="auto"/>
        <w:sz w:val="22"/>
        <w:szCs w:val="22"/>
      </w:rPr>
    </w:lvl>
    <w:lvl w:ilvl="2" w:tentative="0">
      <w:start w:val="1"/>
      <w:numFmt w:val="decimal"/>
      <w:pStyle w:val="81"/>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5">
    <w:nsid w:val="2F701EAB"/>
    <w:multiLevelType w:val="multilevel"/>
    <w:tmpl w:val="2F701EAB"/>
    <w:lvl w:ilvl="0" w:tentative="0">
      <w:start w:val="1"/>
      <w:numFmt w:val="bullet"/>
      <w:lvlText w:val=""/>
      <w:lvlJc w:val="left"/>
      <w:pPr>
        <w:ind w:left="1258" w:hanging="420"/>
      </w:pPr>
      <w:rPr>
        <w:rFonts w:hint="default" w:ascii="Wingdings" w:hAnsi="Wingdings"/>
      </w:rPr>
    </w:lvl>
    <w:lvl w:ilvl="1" w:tentative="0">
      <w:start w:val="1"/>
      <w:numFmt w:val="bullet"/>
      <w:lvlText w:val=""/>
      <w:lvlJc w:val="left"/>
      <w:pPr>
        <w:ind w:left="1678" w:hanging="420"/>
      </w:pPr>
      <w:rPr>
        <w:rFonts w:hint="default" w:ascii="Wingdings" w:hAnsi="Wingdings"/>
      </w:rPr>
    </w:lvl>
    <w:lvl w:ilvl="2" w:tentative="0">
      <w:start w:val="1"/>
      <w:numFmt w:val="bullet"/>
      <w:lvlText w:val=""/>
      <w:lvlJc w:val="left"/>
      <w:pPr>
        <w:ind w:left="2098" w:hanging="420"/>
      </w:pPr>
      <w:rPr>
        <w:rFonts w:hint="default" w:ascii="Wingdings" w:hAnsi="Wingdings"/>
      </w:rPr>
    </w:lvl>
    <w:lvl w:ilvl="3" w:tentative="0">
      <w:start w:val="1"/>
      <w:numFmt w:val="bullet"/>
      <w:lvlText w:val=""/>
      <w:lvlJc w:val="left"/>
      <w:pPr>
        <w:ind w:left="2518" w:hanging="420"/>
      </w:pPr>
      <w:rPr>
        <w:rFonts w:hint="default" w:ascii="Wingdings" w:hAnsi="Wingdings"/>
      </w:rPr>
    </w:lvl>
    <w:lvl w:ilvl="4" w:tentative="0">
      <w:start w:val="1"/>
      <w:numFmt w:val="bullet"/>
      <w:lvlText w:val=""/>
      <w:lvlJc w:val="left"/>
      <w:pPr>
        <w:ind w:left="2938" w:hanging="420"/>
      </w:pPr>
      <w:rPr>
        <w:rFonts w:hint="default" w:ascii="Wingdings" w:hAnsi="Wingdings"/>
      </w:rPr>
    </w:lvl>
    <w:lvl w:ilvl="5" w:tentative="0">
      <w:start w:val="1"/>
      <w:numFmt w:val="bullet"/>
      <w:lvlText w:val=""/>
      <w:lvlJc w:val="left"/>
      <w:pPr>
        <w:ind w:left="3358" w:hanging="420"/>
      </w:pPr>
      <w:rPr>
        <w:rFonts w:hint="default" w:ascii="Wingdings" w:hAnsi="Wingdings"/>
      </w:rPr>
    </w:lvl>
    <w:lvl w:ilvl="6" w:tentative="0">
      <w:start w:val="1"/>
      <w:numFmt w:val="bullet"/>
      <w:lvlText w:val=""/>
      <w:lvlJc w:val="left"/>
      <w:pPr>
        <w:ind w:left="3778" w:hanging="420"/>
      </w:pPr>
      <w:rPr>
        <w:rFonts w:hint="default" w:ascii="Wingdings" w:hAnsi="Wingdings"/>
      </w:rPr>
    </w:lvl>
    <w:lvl w:ilvl="7" w:tentative="0">
      <w:start w:val="1"/>
      <w:numFmt w:val="bullet"/>
      <w:lvlText w:val=""/>
      <w:lvlJc w:val="left"/>
      <w:pPr>
        <w:ind w:left="4198" w:hanging="420"/>
      </w:pPr>
      <w:rPr>
        <w:rFonts w:hint="default" w:ascii="Wingdings" w:hAnsi="Wingdings"/>
      </w:rPr>
    </w:lvl>
    <w:lvl w:ilvl="8" w:tentative="0">
      <w:start w:val="1"/>
      <w:numFmt w:val="bullet"/>
      <w:lvlText w:val=""/>
      <w:lvlJc w:val="left"/>
      <w:pPr>
        <w:ind w:left="4618" w:hanging="420"/>
      </w:pPr>
      <w:rPr>
        <w:rFonts w:hint="default" w:ascii="Wingdings" w:hAnsi="Wingdings"/>
      </w:rPr>
    </w:lvl>
  </w:abstractNum>
  <w:abstractNum w:abstractNumId="26">
    <w:nsid w:val="40431346"/>
    <w:multiLevelType w:val="multilevel"/>
    <w:tmpl w:val="40431346"/>
    <w:lvl w:ilvl="0" w:tentative="0">
      <w:start w:val="1"/>
      <w:numFmt w:val="bullet"/>
      <w:lvlText w:val=""/>
      <w:lvlJc w:val="left"/>
      <w:pPr>
        <w:ind w:left="1258" w:hanging="420"/>
      </w:pPr>
      <w:rPr>
        <w:rFonts w:hint="default" w:ascii="Wingdings" w:hAnsi="Wingdings"/>
      </w:rPr>
    </w:lvl>
    <w:lvl w:ilvl="1" w:tentative="0">
      <w:start w:val="1"/>
      <w:numFmt w:val="bullet"/>
      <w:lvlText w:val=""/>
      <w:lvlJc w:val="left"/>
      <w:pPr>
        <w:ind w:left="1678" w:hanging="420"/>
      </w:pPr>
      <w:rPr>
        <w:rFonts w:hint="default" w:ascii="Wingdings" w:hAnsi="Wingdings"/>
      </w:rPr>
    </w:lvl>
    <w:lvl w:ilvl="2" w:tentative="0">
      <w:start w:val="1"/>
      <w:numFmt w:val="bullet"/>
      <w:lvlText w:val=""/>
      <w:lvlJc w:val="left"/>
      <w:pPr>
        <w:ind w:left="2098" w:hanging="420"/>
      </w:pPr>
      <w:rPr>
        <w:rFonts w:hint="default" w:ascii="Wingdings" w:hAnsi="Wingdings"/>
      </w:rPr>
    </w:lvl>
    <w:lvl w:ilvl="3" w:tentative="0">
      <w:start w:val="1"/>
      <w:numFmt w:val="bullet"/>
      <w:lvlText w:val=""/>
      <w:lvlJc w:val="left"/>
      <w:pPr>
        <w:ind w:left="2518" w:hanging="420"/>
      </w:pPr>
      <w:rPr>
        <w:rFonts w:hint="default" w:ascii="Wingdings" w:hAnsi="Wingdings"/>
      </w:rPr>
    </w:lvl>
    <w:lvl w:ilvl="4" w:tentative="0">
      <w:start w:val="1"/>
      <w:numFmt w:val="bullet"/>
      <w:lvlText w:val=""/>
      <w:lvlJc w:val="left"/>
      <w:pPr>
        <w:ind w:left="2938" w:hanging="420"/>
      </w:pPr>
      <w:rPr>
        <w:rFonts w:hint="default" w:ascii="Wingdings" w:hAnsi="Wingdings"/>
      </w:rPr>
    </w:lvl>
    <w:lvl w:ilvl="5" w:tentative="0">
      <w:start w:val="1"/>
      <w:numFmt w:val="bullet"/>
      <w:lvlText w:val=""/>
      <w:lvlJc w:val="left"/>
      <w:pPr>
        <w:ind w:left="3358" w:hanging="420"/>
      </w:pPr>
      <w:rPr>
        <w:rFonts w:hint="default" w:ascii="Wingdings" w:hAnsi="Wingdings"/>
      </w:rPr>
    </w:lvl>
    <w:lvl w:ilvl="6" w:tentative="0">
      <w:start w:val="1"/>
      <w:numFmt w:val="bullet"/>
      <w:lvlText w:val=""/>
      <w:lvlJc w:val="left"/>
      <w:pPr>
        <w:ind w:left="3778" w:hanging="420"/>
      </w:pPr>
      <w:rPr>
        <w:rFonts w:hint="default" w:ascii="Wingdings" w:hAnsi="Wingdings"/>
      </w:rPr>
    </w:lvl>
    <w:lvl w:ilvl="7" w:tentative="0">
      <w:start w:val="1"/>
      <w:numFmt w:val="bullet"/>
      <w:lvlText w:val=""/>
      <w:lvlJc w:val="left"/>
      <w:pPr>
        <w:ind w:left="4198" w:hanging="420"/>
      </w:pPr>
      <w:rPr>
        <w:rFonts w:hint="default" w:ascii="Wingdings" w:hAnsi="Wingdings"/>
      </w:rPr>
    </w:lvl>
    <w:lvl w:ilvl="8" w:tentative="0">
      <w:start w:val="1"/>
      <w:numFmt w:val="bullet"/>
      <w:lvlText w:val=""/>
      <w:lvlJc w:val="left"/>
      <w:pPr>
        <w:ind w:left="4618" w:hanging="420"/>
      </w:pPr>
      <w:rPr>
        <w:rFonts w:hint="default" w:ascii="Wingdings" w:hAnsi="Wingdings"/>
      </w:rPr>
    </w:lvl>
  </w:abstractNum>
  <w:abstractNum w:abstractNumId="27">
    <w:nsid w:val="4B203D3F"/>
    <w:multiLevelType w:val="multilevel"/>
    <w:tmpl w:val="4B203D3F"/>
    <w:lvl w:ilvl="0" w:tentative="0">
      <w:start w:val="1"/>
      <w:numFmt w:val="bullet"/>
      <w:pStyle w:val="60"/>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28">
    <w:nsid w:val="507C63DB"/>
    <w:multiLevelType w:val="multilevel"/>
    <w:tmpl w:val="507C63DB"/>
    <w:lvl w:ilvl="0" w:tentative="0">
      <w:start w:val="1"/>
      <w:numFmt w:val="bullet"/>
      <w:lvlText w:val=""/>
      <w:lvlJc w:val="left"/>
      <w:pPr>
        <w:ind w:left="846" w:hanging="420"/>
      </w:pPr>
      <w:rPr>
        <w:rFonts w:hint="default" w:ascii="Wingdings" w:hAnsi="Wingdings"/>
      </w:rPr>
    </w:lvl>
    <w:lvl w:ilvl="1" w:tentative="0">
      <w:start w:val="1"/>
      <w:numFmt w:val="bullet"/>
      <w:lvlText w:val=""/>
      <w:lvlJc w:val="left"/>
      <w:pPr>
        <w:ind w:left="1407" w:hanging="420"/>
      </w:pPr>
      <w:rPr>
        <w:rFonts w:hint="default" w:ascii="Wingdings" w:hAnsi="Wingdings"/>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29">
    <w:nsid w:val="5594FAD5"/>
    <w:multiLevelType w:val="singleLevel"/>
    <w:tmpl w:val="5594FAD5"/>
    <w:lvl w:ilvl="0" w:tentative="0">
      <w:start w:val="1"/>
      <w:numFmt w:val="decimal"/>
      <w:lvlText w:val="(%1)"/>
      <w:lvlJc w:val="left"/>
      <w:pPr>
        <w:ind w:left="425" w:hanging="425"/>
      </w:pPr>
      <w:rPr>
        <w:rFonts w:hint="default"/>
      </w:rPr>
    </w:lvl>
  </w:abstractNum>
  <w:abstractNum w:abstractNumId="30">
    <w:nsid w:val="5A545FC5"/>
    <w:multiLevelType w:val="singleLevel"/>
    <w:tmpl w:val="5A545FC5"/>
    <w:lvl w:ilvl="0" w:tentative="0">
      <w:start w:val="1"/>
      <w:numFmt w:val="decimal"/>
      <w:lvlText w:val="(%1)"/>
      <w:lvlJc w:val="left"/>
      <w:pPr>
        <w:ind w:left="425" w:hanging="425"/>
      </w:pPr>
      <w:rPr>
        <w:rFonts w:hint="default"/>
      </w:rPr>
    </w:lvl>
  </w:abstractNum>
  <w:abstractNum w:abstractNumId="31">
    <w:nsid w:val="6256452B"/>
    <w:multiLevelType w:val="multilevel"/>
    <w:tmpl w:val="6256452B"/>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2">
    <w:nsid w:val="64D0136F"/>
    <w:multiLevelType w:val="singleLevel"/>
    <w:tmpl w:val="64D0136F"/>
    <w:lvl w:ilvl="0" w:tentative="0">
      <w:start w:val="4"/>
      <w:numFmt w:val="chineseCounting"/>
      <w:suff w:val="nothing"/>
      <w:lvlText w:val="（%1）"/>
      <w:lvlJc w:val="left"/>
      <w:pPr>
        <w:ind w:left="0" w:firstLine="420"/>
      </w:pPr>
      <w:rPr>
        <w:rFonts w:hint="eastAsia"/>
      </w:rPr>
    </w:lvl>
  </w:abstractNum>
  <w:abstractNum w:abstractNumId="33">
    <w:nsid w:val="75E23BFC"/>
    <w:multiLevelType w:val="multilevel"/>
    <w:tmpl w:val="75E23BFC"/>
    <w:lvl w:ilvl="0" w:tentative="0">
      <w:start w:val="1"/>
      <w:numFmt w:val="bullet"/>
      <w:lvlText w:val=""/>
      <w:lvlJc w:val="left"/>
      <w:pPr>
        <w:ind w:left="987" w:hanging="420"/>
      </w:pPr>
      <w:rPr>
        <w:rFonts w:hint="default" w:ascii="Wingdings" w:hAnsi="Wingdings"/>
      </w:rPr>
    </w:lvl>
    <w:lvl w:ilvl="1" w:tentative="0">
      <w:start w:val="1"/>
      <w:numFmt w:val="bullet"/>
      <w:lvlText w:val=""/>
      <w:lvlJc w:val="left"/>
      <w:pPr>
        <w:ind w:left="1407" w:hanging="420"/>
      </w:pPr>
      <w:rPr>
        <w:rFonts w:hint="default" w:ascii="Wingdings" w:hAnsi="Wingdings"/>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34">
    <w:nsid w:val="78E047D1"/>
    <w:multiLevelType w:val="singleLevel"/>
    <w:tmpl w:val="78E047D1"/>
    <w:lvl w:ilvl="0" w:tentative="0">
      <w:start w:val="1"/>
      <w:numFmt w:val="decimal"/>
      <w:lvlText w:val="(%1)"/>
      <w:lvlJc w:val="left"/>
      <w:pPr>
        <w:ind w:left="425" w:hanging="425"/>
      </w:pPr>
      <w:rPr>
        <w:rFonts w:hint="default"/>
      </w:rPr>
    </w:lvl>
  </w:abstractNum>
  <w:abstractNum w:abstractNumId="35">
    <w:nsid w:val="7D0E3C5F"/>
    <w:multiLevelType w:val="singleLevel"/>
    <w:tmpl w:val="7D0E3C5F"/>
    <w:lvl w:ilvl="0" w:tentative="0">
      <w:start w:val="1"/>
      <w:numFmt w:val="decimal"/>
      <w:lvlText w:val="(%1)"/>
      <w:lvlJc w:val="left"/>
      <w:pPr>
        <w:ind w:left="425" w:hanging="425"/>
      </w:pPr>
      <w:rPr>
        <w:rFonts w:hint="default"/>
      </w:rPr>
    </w:lvl>
  </w:abstractNum>
  <w:num w:numId="1">
    <w:abstractNumId w:val="21"/>
  </w:num>
  <w:num w:numId="2">
    <w:abstractNumId w:val="27"/>
  </w:num>
  <w:num w:numId="3">
    <w:abstractNumId w:val="24"/>
  </w:num>
  <w:num w:numId="4">
    <w:abstractNumId w:val="35"/>
  </w:num>
  <w:num w:numId="5">
    <w:abstractNumId w:val="0"/>
  </w:num>
  <w:num w:numId="6">
    <w:abstractNumId w:val="20"/>
  </w:num>
  <w:num w:numId="7">
    <w:abstractNumId w:val="34"/>
  </w:num>
  <w:num w:numId="8">
    <w:abstractNumId w:val="29"/>
  </w:num>
  <w:num w:numId="9">
    <w:abstractNumId w:val="2"/>
  </w:num>
  <w:num w:numId="10">
    <w:abstractNumId w:val="18"/>
  </w:num>
  <w:num w:numId="11">
    <w:abstractNumId w:val="23"/>
  </w:num>
  <w:num w:numId="12">
    <w:abstractNumId w:val="4"/>
  </w:num>
  <w:num w:numId="13">
    <w:abstractNumId w:val="16"/>
  </w:num>
  <w:num w:numId="14">
    <w:abstractNumId w:val="30"/>
  </w:num>
  <w:num w:numId="15">
    <w:abstractNumId w:val="9"/>
  </w:num>
  <w:num w:numId="16">
    <w:abstractNumId w:val="19"/>
  </w:num>
  <w:num w:numId="17">
    <w:abstractNumId w:val="5"/>
  </w:num>
  <w:num w:numId="18">
    <w:abstractNumId w:val="13"/>
  </w:num>
  <w:num w:numId="19">
    <w:abstractNumId w:val="6"/>
  </w:num>
  <w:num w:numId="20">
    <w:abstractNumId w:val="28"/>
  </w:num>
  <w:num w:numId="21">
    <w:abstractNumId w:val="33"/>
  </w:num>
  <w:num w:numId="22">
    <w:abstractNumId w:val="26"/>
  </w:num>
  <w:num w:numId="23">
    <w:abstractNumId w:val="25"/>
  </w:num>
  <w:num w:numId="2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17"/>
  </w:num>
  <w:num w:numId="27">
    <w:abstractNumId w:val="14"/>
  </w:num>
  <w:num w:numId="28">
    <w:abstractNumId w:val="11"/>
  </w:num>
  <w:num w:numId="29">
    <w:abstractNumId w:val="1"/>
  </w:num>
  <w:num w:numId="30">
    <w:abstractNumId w:val="3"/>
  </w:num>
  <w:num w:numId="31">
    <w:abstractNumId w:val="8"/>
  </w:num>
  <w:num w:numId="32">
    <w:abstractNumId w:val="12"/>
  </w:num>
  <w:num w:numId="33">
    <w:abstractNumId w:val="32"/>
  </w:num>
  <w:num w:numId="34">
    <w:abstractNumId w:val="10"/>
  </w:num>
  <w:num w:numId="35">
    <w:abstractNumId w:val="15"/>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val="1"/>
  <w:documentProtection w:enforcement="0"/>
  <w:defaultTabStop w:val="420"/>
  <w:drawingGridHorizontalSpacing w:val="120"/>
  <w:drawingGridVerticalSpacing w:val="38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FlODM4OWJmYzY2Yzc4MTBiYzUzNjcyM2NlNTVmZjQifQ=="/>
  </w:docVars>
  <w:rsids>
    <w:rsidRoot w:val="007B6BB2"/>
    <w:rsid w:val="00024281"/>
    <w:rsid w:val="000423A7"/>
    <w:rsid w:val="00051DCC"/>
    <w:rsid w:val="00064764"/>
    <w:rsid w:val="00074102"/>
    <w:rsid w:val="00074251"/>
    <w:rsid w:val="0007440A"/>
    <w:rsid w:val="00084422"/>
    <w:rsid w:val="00090941"/>
    <w:rsid w:val="00092AAC"/>
    <w:rsid w:val="00095F37"/>
    <w:rsid w:val="000A539A"/>
    <w:rsid w:val="000C3336"/>
    <w:rsid w:val="000C4A41"/>
    <w:rsid w:val="000D4494"/>
    <w:rsid w:val="000D6439"/>
    <w:rsid w:val="000F5143"/>
    <w:rsid w:val="00102C47"/>
    <w:rsid w:val="00102E02"/>
    <w:rsid w:val="00104B85"/>
    <w:rsid w:val="00117560"/>
    <w:rsid w:val="00120252"/>
    <w:rsid w:val="001261EB"/>
    <w:rsid w:val="001418A3"/>
    <w:rsid w:val="001516F5"/>
    <w:rsid w:val="00155E29"/>
    <w:rsid w:val="00185024"/>
    <w:rsid w:val="001922D8"/>
    <w:rsid w:val="00196E0F"/>
    <w:rsid w:val="001B291D"/>
    <w:rsid w:val="001D26FA"/>
    <w:rsid w:val="001D4413"/>
    <w:rsid w:val="00200393"/>
    <w:rsid w:val="00230F5C"/>
    <w:rsid w:val="00255A72"/>
    <w:rsid w:val="00257CC4"/>
    <w:rsid w:val="002605C7"/>
    <w:rsid w:val="00266D67"/>
    <w:rsid w:val="00280709"/>
    <w:rsid w:val="002A4121"/>
    <w:rsid w:val="002A5377"/>
    <w:rsid w:val="002C64D5"/>
    <w:rsid w:val="002D09D5"/>
    <w:rsid w:val="002D3C09"/>
    <w:rsid w:val="002F7224"/>
    <w:rsid w:val="0031515E"/>
    <w:rsid w:val="00336111"/>
    <w:rsid w:val="00340142"/>
    <w:rsid w:val="00364558"/>
    <w:rsid w:val="00381E43"/>
    <w:rsid w:val="0039395C"/>
    <w:rsid w:val="00393A79"/>
    <w:rsid w:val="00394160"/>
    <w:rsid w:val="003C00A0"/>
    <w:rsid w:val="003C22A0"/>
    <w:rsid w:val="003C6ED6"/>
    <w:rsid w:val="003E27E2"/>
    <w:rsid w:val="00403972"/>
    <w:rsid w:val="00417A19"/>
    <w:rsid w:val="00446F89"/>
    <w:rsid w:val="00447896"/>
    <w:rsid w:val="00453360"/>
    <w:rsid w:val="00454023"/>
    <w:rsid w:val="00457DAB"/>
    <w:rsid w:val="00464090"/>
    <w:rsid w:val="00484ED1"/>
    <w:rsid w:val="0049771E"/>
    <w:rsid w:val="004A0E11"/>
    <w:rsid w:val="004A48B2"/>
    <w:rsid w:val="004A7EB5"/>
    <w:rsid w:val="004B246B"/>
    <w:rsid w:val="004B4FD5"/>
    <w:rsid w:val="004C63A0"/>
    <w:rsid w:val="004D520F"/>
    <w:rsid w:val="004E61E1"/>
    <w:rsid w:val="004F0E18"/>
    <w:rsid w:val="00500631"/>
    <w:rsid w:val="005037CB"/>
    <w:rsid w:val="00511C9A"/>
    <w:rsid w:val="00512E41"/>
    <w:rsid w:val="0052573C"/>
    <w:rsid w:val="005329CA"/>
    <w:rsid w:val="005544C9"/>
    <w:rsid w:val="00555CC4"/>
    <w:rsid w:val="00570D2A"/>
    <w:rsid w:val="00585FEB"/>
    <w:rsid w:val="0058700C"/>
    <w:rsid w:val="005929E3"/>
    <w:rsid w:val="00594D9F"/>
    <w:rsid w:val="005A0117"/>
    <w:rsid w:val="005A61D2"/>
    <w:rsid w:val="005C065F"/>
    <w:rsid w:val="005C0F7B"/>
    <w:rsid w:val="005C122D"/>
    <w:rsid w:val="005C3970"/>
    <w:rsid w:val="005D5BC8"/>
    <w:rsid w:val="005F66D5"/>
    <w:rsid w:val="005F7953"/>
    <w:rsid w:val="0060170A"/>
    <w:rsid w:val="006137CC"/>
    <w:rsid w:val="006319FF"/>
    <w:rsid w:val="006370FF"/>
    <w:rsid w:val="00641903"/>
    <w:rsid w:val="00663439"/>
    <w:rsid w:val="00671990"/>
    <w:rsid w:val="00690E9A"/>
    <w:rsid w:val="00696F1A"/>
    <w:rsid w:val="006D099A"/>
    <w:rsid w:val="006D7E60"/>
    <w:rsid w:val="006F0C7E"/>
    <w:rsid w:val="006F6B18"/>
    <w:rsid w:val="0070150D"/>
    <w:rsid w:val="0070400D"/>
    <w:rsid w:val="00723ED6"/>
    <w:rsid w:val="00725298"/>
    <w:rsid w:val="00727A71"/>
    <w:rsid w:val="007308E4"/>
    <w:rsid w:val="00733B1C"/>
    <w:rsid w:val="0073796B"/>
    <w:rsid w:val="007520BB"/>
    <w:rsid w:val="0078137D"/>
    <w:rsid w:val="0078548E"/>
    <w:rsid w:val="00797D6C"/>
    <w:rsid w:val="007A28DE"/>
    <w:rsid w:val="007B0D4E"/>
    <w:rsid w:val="007B6BB2"/>
    <w:rsid w:val="007C5E38"/>
    <w:rsid w:val="007D21EE"/>
    <w:rsid w:val="007D5A01"/>
    <w:rsid w:val="007D7189"/>
    <w:rsid w:val="007E58AF"/>
    <w:rsid w:val="007F66F2"/>
    <w:rsid w:val="0080768E"/>
    <w:rsid w:val="00810A7E"/>
    <w:rsid w:val="0085103E"/>
    <w:rsid w:val="008749F4"/>
    <w:rsid w:val="008A463F"/>
    <w:rsid w:val="008C069E"/>
    <w:rsid w:val="008F5F95"/>
    <w:rsid w:val="009028D6"/>
    <w:rsid w:val="00910B0E"/>
    <w:rsid w:val="00927C4F"/>
    <w:rsid w:val="0096132A"/>
    <w:rsid w:val="00963D21"/>
    <w:rsid w:val="009742A0"/>
    <w:rsid w:val="00982B76"/>
    <w:rsid w:val="009942EF"/>
    <w:rsid w:val="009A261B"/>
    <w:rsid w:val="009C05CF"/>
    <w:rsid w:val="009F0C3D"/>
    <w:rsid w:val="009F41C4"/>
    <w:rsid w:val="009F5760"/>
    <w:rsid w:val="00A001E2"/>
    <w:rsid w:val="00A20DC7"/>
    <w:rsid w:val="00A534B7"/>
    <w:rsid w:val="00A655D4"/>
    <w:rsid w:val="00A83CBB"/>
    <w:rsid w:val="00A844C8"/>
    <w:rsid w:val="00A8744B"/>
    <w:rsid w:val="00A903AB"/>
    <w:rsid w:val="00AA51D2"/>
    <w:rsid w:val="00AA6B98"/>
    <w:rsid w:val="00AB319A"/>
    <w:rsid w:val="00AB34A4"/>
    <w:rsid w:val="00AB7909"/>
    <w:rsid w:val="00AC37F4"/>
    <w:rsid w:val="00AE4BE2"/>
    <w:rsid w:val="00B00790"/>
    <w:rsid w:val="00B41687"/>
    <w:rsid w:val="00B458FA"/>
    <w:rsid w:val="00B56654"/>
    <w:rsid w:val="00B620A7"/>
    <w:rsid w:val="00B82AB0"/>
    <w:rsid w:val="00BC49B1"/>
    <w:rsid w:val="00BC5F5D"/>
    <w:rsid w:val="00BD533E"/>
    <w:rsid w:val="00BE2A12"/>
    <w:rsid w:val="00C046EB"/>
    <w:rsid w:val="00C20A02"/>
    <w:rsid w:val="00C2550C"/>
    <w:rsid w:val="00C44D4E"/>
    <w:rsid w:val="00C47A77"/>
    <w:rsid w:val="00C622B6"/>
    <w:rsid w:val="00C97D68"/>
    <w:rsid w:val="00CA5440"/>
    <w:rsid w:val="00CA6A5F"/>
    <w:rsid w:val="00CB3759"/>
    <w:rsid w:val="00CC3DD4"/>
    <w:rsid w:val="00CD30ED"/>
    <w:rsid w:val="00D141B8"/>
    <w:rsid w:val="00D21FA9"/>
    <w:rsid w:val="00D252A0"/>
    <w:rsid w:val="00D33060"/>
    <w:rsid w:val="00D534EC"/>
    <w:rsid w:val="00D80613"/>
    <w:rsid w:val="00D969A4"/>
    <w:rsid w:val="00DC007C"/>
    <w:rsid w:val="00DD6BF5"/>
    <w:rsid w:val="00DF659A"/>
    <w:rsid w:val="00E07C30"/>
    <w:rsid w:val="00E10692"/>
    <w:rsid w:val="00E12090"/>
    <w:rsid w:val="00E317DE"/>
    <w:rsid w:val="00E35493"/>
    <w:rsid w:val="00E3553E"/>
    <w:rsid w:val="00E5168F"/>
    <w:rsid w:val="00E5331A"/>
    <w:rsid w:val="00E60B4E"/>
    <w:rsid w:val="00E6373D"/>
    <w:rsid w:val="00E647D9"/>
    <w:rsid w:val="00E65E74"/>
    <w:rsid w:val="00E83982"/>
    <w:rsid w:val="00EB58F0"/>
    <w:rsid w:val="00EB7D8A"/>
    <w:rsid w:val="00ED1ECC"/>
    <w:rsid w:val="00EF37B2"/>
    <w:rsid w:val="00EF5C0C"/>
    <w:rsid w:val="00F15721"/>
    <w:rsid w:val="00F4011C"/>
    <w:rsid w:val="00F432A8"/>
    <w:rsid w:val="00F518E7"/>
    <w:rsid w:val="00F57589"/>
    <w:rsid w:val="00F707F7"/>
    <w:rsid w:val="00F744F9"/>
    <w:rsid w:val="00F75384"/>
    <w:rsid w:val="00F83E2B"/>
    <w:rsid w:val="00F965C3"/>
    <w:rsid w:val="00FA5701"/>
    <w:rsid w:val="00FA62C1"/>
    <w:rsid w:val="00FD7CB3"/>
    <w:rsid w:val="00FF5FF5"/>
    <w:rsid w:val="02062C47"/>
    <w:rsid w:val="024D0D1B"/>
    <w:rsid w:val="028B2675"/>
    <w:rsid w:val="03704DF9"/>
    <w:rsid w:val="03FB3165"/>
    <w:rsid w:val="04392FE2"/>
    <w:rsid w:val="04453AF6"/>
    <w:rsid w:val="05297BCE"/>
    <w:rsid w:val="063021CC"/>
    <w:rsid w:val="07813314"/>
    <w:rsid w:val="08300443"/>
    <w:rsid w:val="08CF0CD0"/>
    <w:rsid w:val="08F13F46"/>
    <w:rsid w:val="091A12CE"/>
    <w:rsid w:val="098C2C22"/>
    <w:rsid w:val="0A9A2BEC"/>
    <w:rsid w:val="0AAF02E4"/>
    <w:rsid w:val="0B434D8B"/>
    <w:rsid w:val="0BAD76F5"/>
    <w:rsid w:val="0D7143ED"/>
    <w:rsid w:val="0DD343D0"/>
    <w:rsid w:val="0DD91CA8"/>
    <w:rsid w:val="0F852E5F"/>
    <w:rsid w:val="0FB02AB5"/>
    <w:rsid w:val="10423388"/>
    <w:rsid w:val="10CF3D41"/>
    <w:rsid w:val="11227590"/>
    <w:rsid w:val="119D2747"/>
    <w:rsid w:val="13191D41"/>
    <w:rsid w:val="138E7E55"/>
    <w:rsid w:val="139C1B40"/>
    <w:rsid w:val="139F2154"/>
    <w:rsid w:val="13F00D60"/>
    <w:rsid w:val="14884F5D"/>
    <w:rsid w:val="14A6366D"/>
    <w:rsid w:val="152D30ED"/>
    <w:rsid w:val="16FA137C"/>
    <w:rsid w:val="18233DB8"/>
    <w:rsid w:val="195178F8"/>
    <w:rsid w:val="198941B1"/>
    <w:rsid w:val="1AFF1A60"/>
    <w:rsid w:val="1BD07037"/>
    <w:rsid w:val="1C8259BD"/>
    <w:rsid w:val="1CC9529A"/>
    <w:rsid w:val="1D679580"/>
    <w:rsid w:val="1DDB04DB"/>
    <w:rsid w:val="1E5908D7"/>
    <w:rsid w:val="1E9A0EFD"/>
    <w:rsid w:val="1E9A6CF6"/>
    <w:rsid w:val="204B6D93"/>
    <w:rsid w:val="205C7190"/>
    <w:rsid w:val="22864C25"/>
    <w:rsid w:val="2371172E"/>
    <w:rsid w:val="23E17175"/>
    <w:rsid w:val="25D0280D"/>
    <w:rsid w:val="264D2C1E"/>
    <w:rsid w:val="26AF29B1"/>
    <w:rsid w:val="26CD73D8"/>
    <w:rsid w:val="27177B28"/>
    <w:rsid w:val="275F19B6"/>
    <w:rsid w:val="2A0C3A2C"/>
    <w:rsid w:val="2C3B299E"/>
    <w:rsid w:val="2C5960F3"/>
    <w:rsid w:val="2C796345"/>
    <w:rsid w:val="2DD246D4"/>
    <w:rsid w:val="2EE63C0F"/>
    <w:rsid w:val="2F405C94"/>
    <w:rsid w:val="2FAA4210"/>
    <w:rsid w:val="304D17AF"/>
    <w:rsid w:val="305512F1"/>
    <w:rsid w:val="30996A52"/>
    <w:rsid w:val="30CD35D3"/>
    <w:rsid w:val="30EF6427"/>
    <w:rsid w:val="313A7A13"/>
    <w:rsid w:val="31595F4B"/>
    <w:rsid w:val="340F7C0F"/>
    <w:rsid w:val="34163EEA"/>
    <w:rsid w:val="36060254"/>
    <w:rsid w:val="36FF7A2D"/>
    <w:rsid w:val="37F077FA"/>
    <w:rsid w:val="383C6458"/>
    <w:rsid w:val="385350E0"/>
    <w:rsid w:val="387F44C7"/>
    <w:rsid w:val="3C3629D9"/>
    <w:rsid w:val="3CFE7ECC"/>
    <w:rsid w:val="3D59126B"/>
    <w:rsid w:val="3EBD29F3"/>
    <w:rsid w:val="3EF213E6"/>
    <w:rsid w:val="3F0C2873"/>
    <w:rsid w:val="402E6E16"/>
    <w:rsid w:val="41C23F5F"/>
    <w:rsid w:val="41FC61B2"/>
    <w:rsid w:val="435C3A3C"/>
    <w:rsid w:val="44234158"/>
    <w:rsid w:val="477D6AD0"/>
    <w:rsid w:val="48226502"/>
    <w:rsid w:val="48B33272"/>
    <w:rsid w:val="49866F2D"/>
    <w:rsid w:val="4A9445A6"/>
    <w:rsid w:val="4B27485A"/>
    <w:rsid w:val="4B3A2D6D"/>
    <w:rsid w:val="4B3C3996"/>
    <w:rsid w:val="4BDC54CA"/>
    <w:rsid w:val="4C333F60"/>
    <w:rsid w:val="4D2100F1"/>
    <w:rsid w:val="4D3E3507"/>
    <w:rsid w:val="4D422183"/>
    <w:rsid w:val="4EAE54EE"/>
    <w:rsid w:val="4EC90924"/>
    <w:rsid w:val="50AB3BEE"/>
    <w:rsid w:val="51CC666A"/>
    <w:rsid w:val="51FE76E9"/>
    <w:rsid w:val="52472E85"/>
    <w:rsid w:val="544E4D2E"/>
    <w:rsid w:val="54774CD7"/>
    <w:rsid w:val="54FC3E1D"/>
    <w:rsid w:val="569077CE"/>
    <w:rsid w:val="57F30E6D"/>
    <w:rsid w:val="58880F72"/>
    <w:rsid w:val="589166BA"/>
    <w:rsid w:val="58977D4C"/>
    <w:rsid w:val="59332437"/>
    <w:rsid w:val="597E2EAD"/>
    <w:rsid w:val="598D4BCF"/>
    <w:rsid w:val="5A2B6265"/>
    <w:rsid w:val="5A451496"/>
    <w:rsid w:val="5A6546FF"/>
    <w:rsid w:val="5D2675DA"/>
    <w:rsid w:val="5EB96C98"/>
    <w:rsid w:val="5F5435DA"/>
    <w:rsid w:val="5FDF0649"/>
    <w:rsid w:val="5FE4303C"/>
    <w:rsid w:val="60312807"/>
    <w:rsid w:val="608C2111"/>
    <w:rsid w:val="60ED4B07"/>
    <w:rsid w:val="616C6574"/>
    <w:rsid w:val="61BF7FB0"/>
    <w:rsid w:val="626C7496"/>
    <w:rsid w:val="64186E4C"/>
    <w:rsid w:val="650D6B47"/>
    <w:rsid w:val="65D339BD"/>
    <w:rsid w:val="65F31CF9"/>
    <w:rsid w:val="674B0183"/>
    <w:rsid w:val="676A75B4"/>
    <w:rsid w:val="6877358A"/>
    <w:rsid w:val="68AA029C"/>
    <w:rsid w:val="68AE4B60"/>
    <w:rsid w:val="691B590A"/>
    <w:rsid w:val="695940F2"/>
    <w:rsid w:val="6A6A66D3"/>
    <w:rsid w:val="6B233179"/>
    <w:rsid w:val="6B9721DF"/>
    <w:rsid w:val="6C2F7F50"/>
    <w:rsid w:val="6C980BBF"/>
    <w:rsid w:val="6E2E5A37"/>
    <w:rsid w:val="6E5C617F"/>
    <w:rsid w:val="6E74768D"/>
    <w:rsid w:val="6EB97FE7"/>
    <w:rsid w:val="6EEC1772"/>
    <w:rsid w:val="6EF33936"/>
    <w:rsid w:val="6F976604"/>
    <w:rsid w:val="6F982BD4"/>
    <w:rsid w:val="6FB706C1"/>
    <w:rsid w:val="707769B6"/>
    <w:rsid w:val="70E56FFE"/>
    <w:rsid w:val="71037E53"/>
    <w:rsid w:val="717D1F6C"/>
    <w:rsid w:val="71B75457"/>
    <w:rsid w:val="723D0369"/>
    <w:rsid w:val="726B1B71"/>
    <w:rsid w:val="73947BA6"/>
    <w:rsid w:val="74BC6C65"/>
    <w:rsid w:val="75D84AD9"/>
    <w:rsid w:val="763F5E5F"/>
    <w:rsid w:val="7647457D"/>
    <w:rsid w:val="76A64828"/>
    <w:rsid w:val="76AD1063"/>
    <w:rsid w:val="76B1394A"/>
    <w:rsid w:val="77455B0B"/>
    <w:rsid w:val="780F4D54"/>
    <w:rsid w:val="785A0759"/>
    <w:rsid w:val="789B38D2"/>
    <w:rsid w:val="79547997"/>
    <w:rsid w:val="7A9C54FF"/>
    <w:rsid w:val="7B3E771C"/>
    <w:rsid w:val="7B3F7B7E"/>
    <w:rsid w:val="7C215C33"/>
    <w:rsid w:val="7CB921AA"/>
    <w:rsid w:val="7CF05EA1"/>
    <w:rsid w:val="7EBE751A"/>
    <w:rsid w:val="7FC91717"/>
    <w:rsid w:val="7FD84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rPr>
  </w:style>
  <w:style w:type="paragraph" w:styleId="2">
    <w:name w:val="heading 1"/>
    <w:basedOn w:val="1"/>
    <w:next w:val="1"/>
    <w:link w:val="38"/>
    <w:qFormat/>
    <w:uiPriority w:val="9"/>
    <w:pPr>
      <w:keepNext/>
      <w:keepLines/>
      <w:numPr>
        <w:ilvl w:val="0"/>
        <w:numId w:val="1"/>
      </w:numPr>
      <w:spacing w:before="100" w:beforeAutospacing="1" w:after="100" w:afterAutospacing="1" w:line="240" w:lineRule="auto"/>
      <w:ind w:firstLine="0" w:firstLineChars="0"/>
      <w:contextualSpacing/>
      <w:jc w:val="center"/>
      <w:outlineLvl w:val="0"/>
    </w:pPr>
    <w:rPr>
      <w:rFonts w:ascii="黑体" w:hAnsi="黑体" w:eastAsia="黑体"/>
      <w:b/>
      <w:bCs/>
      <w:kern w:val="44"/>
      <w:sz w:val="32"/>
      <w:szCs w:val="32"/>
    </w:rPr>
  </w:style>
  <w:style w:type="paragraph" w:styleId="3">
    <w:name w:val="heading 2"/>
    <w:basedOn w:val="1"/>
    <w:next w:val="1"/>
    <w:link w:val="39"/>
    <w:unhideWhenUsed/>
    <w:qFormat/>
    <w:uiPriority w:val="9"/>
    <w:pPr>
      <w:keepNext/>
      <w:keepLines/>
      <w:numPr>
        <w:ilvl w:val="1"/>
        <w:numId w:val="1"/>
      </w:numPr>
      <w:tabs>
        <w:tab w:val="left" w:pos="576"/>
      </w:tabs>
      <w:spacing w:before="260" w:after="260" w:line="240" w:lineRule="auto"/>
      <w:ind w:firstLine="0" w:firstLineChars="0"/>
      <w:outlineLvl w:val="1"/>
    </w:pPr>
    <w:rPr>
      <w:rFonts w:ascii="黑体" w:hAnsi="Arial" w:eastAsia="黑体" w:cs="Times New Roman"/>
      <w:bCs/>
      <w:sz w:val="28"/>
      <w:szCs w:val="28"/>
    </w:rPr>
  </w:style>
  <w:style w:type="paragraph" w:styleId="4">
    <w:name w:val="heading 3"/>
    <w:basedOn w:val="3"/>
    <w:next w:val="1"/>
    <w:link w:val="40"/>
    <w:unhideWhenUsed/>
    <w:qFormat/>
    <w:uiPriority w:val="9"/>
    <w:pPr>
      <w:numPr>
        <w:ilvl w:val="2"/>
      </w:numPr>
      <w:outlineLvl w:val="2"/>
    </w:pPr>
  </w:style>
  <w:style w:type="paragraph" w:styleId="5">
    <w:name w:val="heading 4"/>
    <w:basedOn w:val="1"/>
    <w:next w:val="1"/>
    <w:link w:val="41"/>
    <w:unhideWhenUsed/>
    <w:qFormat/>
    <w:uiPriority w:val="9"/>
    <w:pPr>
      <w:keepNext/>
      <w:keepLines/>
      <w:numPr>
        <w:ilvl w:val="3"/>
        <w:numId w:val="1"/>
      </w:numPr>
      <w:spacing w:before="280" w:after="290" w:line="376" w:lineRule="auto"/>
      <w:ind w:firstLine="0" w:firstLineChars="0"/>
      <w:outlineLvl w:val="3"/>
    </w:pPr>
    <w:rPr>
      <w:rFonts w:ascii="仿宋" w:hAnsi="仿宋" w:eastAsia="仿宋" w:cstheme="majorBidi"/>
      <w:b/>
      <w:bCs/>
      <w:szCs w:val="28"/>
    </w:rPr>
  </w:style>
  <w:style w:type="paragraph" w:styleId="6">
    <w:name w:val="heading 5"/>
    <w:basedOn w:val="1"/>
    <w:next w:val="1"/>
    <w:link w:val="42"/>
    <w:unhideWhenUsed/>
    <w:qFormat/>
    <w:uiPriority w:val="9"/>
    <w:pPr>
      <w:keepNext/>
      <w:keepLines/>
      <w:numPr>
        <w:ilvl w:val="4"/>
        <w:numId w:val="1"/>
      </w:numPr>
      <w:spacing w:before="280" w:after="290" w:line="376" w:lineRule="auto"/>
      <w:ind w:firstLine="0" w:firstLineChars="0"/>
      <w:outlineLvl w:val="4"/>
    </w:pPr>
    <w:rPr>
      <w:b/>
      <w:bCs/>
      <w:szCs w:val="28"/>
    </w:rPr>
  </w:style>
  <w:style w:type="paragraph" w:styleId="7">
    <w:name w:val="heading 6"/>
    <w:basedOn w:val="1"/>
    <w:next w:val="1"/>
    <w:link w:val="43"/>
    <w:semiHidden/>
    <w:unhideWhenUsed/>
    <w:qFormat/>
    <w:uiPriority w:val="9"/>
    <w:pPr>
      <w:keepNext/>
      <w:keepLines/>
      <w:numPr>
        <w:ilvl w:val="5"/>
        <w:numId w:val="1"/>
      </w:numPr>
      <w:spacing w:before="240" w:after="64" w:line="320" w:lineRule="auto"/>
      <w:ind w:firstLine="0" w:firstLineChars="0"/>
      <w:outlineLvl w:val="5"/>
    </w:pPr>
    <w:rPr>
      <w:rFonts w:asciiTheme="majorHAnsi" w:hAnsiTheme="majorHAnsi" w:eastAsiaTheme="majorEastAsia" w:cstheme="majorBidi"/>
      <w:b/>
      <w:bCs/>
      <w:szCs w:val="24"/>
    </w:rPr>
  </w:style>
  <w:style w:type="paragraph" w:styleId="8">
    <w:name w:val="heading 7"/>
    <w:basedOn w:val="1"/>
    <w:next w:val="1"/>
    <w:link w:val="44"/>
    <w:semiHidden/>
    <w:unhideWhenUsed/>
    <w:qFormat/>
    <w:uiPriority w:val="9"/>
    <w:pPr>
      <w:keepNext/>
      <w:keepLines/>
      <w:numPr>
        <w:ilvl w:val="6"/>
        <w:numId w:val="1"/>
      </w:numPr>
      <w:spacing w:before="240" w:after="64" w:line="320" w:lineRule="auto"/>
      <w:ind w:firstLine="0" w:firstLineChars="0"/>
      <w:outlineLvl w:val="6"/>
    </w:pPr>
    <w:rPr>
      <w:b/>
      <w:bCs/>
      <w:szCs w:val="24"/>
    </w:rPr>
  </w:style>
  <w:style w:type="paragraph" w:styleId="9">
    <w:name w:val="heading 8"/>
    <w:basedOn w:val="1"/>
    <w:next w:val="1"/>
    <w:link w:val="45"/>
    <w:semiHidden/>
    <w:unhideWhenUsed/>
    <w:qFormat/>
    <w:uiPriority w:val="9"/>
    <w:pPr>
      <w:keepNext/>
      <w:keepLines/>
      <w:numPr>
        <w:ilvl w:val="7"/>
        <w:numId w:val="1"/>
      </w:numPr>
      <w:spacing w:before="240" w:after="64" w:line="320" w:lineRule="auto"/>
      <w:ind w:firstLine="0" w:firstLineChars="0"/>
      <w:outlineLvl w:val="7"/>
    </w:pPr>
    <w:rPr>
      <w:rFonts w:asciiTheme="majorHAnsi" w:hAnsiTheme="majorHAnsi" w:eastAsiaTheme="majorEastAsia" w:cstheme="majorBidi"/>
      <w:szCs w:val="24"/>
    </w:rPr>
  </w:style>
  <w:style w:type="paragraph" w:styleId="10">
    <w:name w:val="heading 9"/>
    <w:basedOn w:val="1"/>
    <w:next w:val="1"/>
    <w:link w:val="46"/>
    <w:semiHidden/>
    <w:unhideWhenUsed/>
    <w:qFormat/>
    <w:uiPriority w:val="9"/>
    <w:pPr>
      <w:keepNext/>
      <w:keepLines/>
      <w:numPr>
        <w:ilvl w:val="8"/>
        <w:numId w:val="1"/>
      </w:numPr>
      <w:spacing w:before="240" w:after="64" w:line="320" w:lineRule="auto"/>
      <w:ind w:firstLine="0" w:firstLineChars="0"/>
      <w:outlineLvl w:val="8"/>
    </w:pPr>
    <w:rPr>
      <w:rFonts w:asciiTheme="majorHAnsi" w:hAnsiTheme="majorHAnsi" w:eastAsiaTheme="majorEastAsia" w:cstheme="majorBidi"/>
      <w:sz w:val="21"/>
      <w:szCs w:val="21"/>
    </w:rPr>
  </w:style>
  <w:style w:type="character" w:default="1" w:styleId="36">
    <w:name w:val="Default Paragraph Font"/>
    <w:semiHidden/>
    <w:unhideWhenUsed/>
    <w:uiPriority w:val="1"/>
  </w:style>
  <w:style w:type="table" w:default="1" w:styleId="34">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unhideWhenUsed/>
    <w:qFormat/>
    <w:uiPriority w:val="39"/>
    <w:pPr>
      <w:ind w:left="1440"/>
      <w:jc w:val="left"/>
    </w:pPr>
    <w:rPr>
      <w:rFonts w:cstheme="minorHAnsi"/>
      <w:sz w:val="18"/>
      <w:szCs w:val="18"/>
    </w:rPr>
  </w:style>
  <w:style w:type="paragraph" w:styleId="12">
    <w:name w:val="Normal Indent"/>
    <w:basedOn w:val="1"/>
    <w:link w:val="47"/>
    <w:qFormat/>
    <w:uiPriority w:val="0"/>
    <w:pPr>
      <w:spacing w:line="240" w:lineRule="auto"/>
      <w:ind w:firstLine="420" w:firstLineChars="0"/>
    </w:pPr>
    <w:rPr>
      <w:rFonts w:ascii="Times New Roman" w:hAnsi="Times New Roman" w:cs="Times New Roman"/>
      <w:sz w:val="21"/>
      <w:szCs w:val="20"/>
      <w:lang w:val="zh-CN"/>
    </w:rPr>
  </w:style>
  <w:style w:type="paragraph" w:styleId="13">
    <w:name w:val="annotation text"/>
    <w:basedOn w:val="1"/>
    <w:semiHidden/>
    <w:unhideWhenUsed/>
    <w:qFormat/>
    <w:uiPriority w:val="99"/>
    <w:pPr>
      <w:jc w:val="left"/>
    </w:pPr>
  </w:style>
  <w:style w:type="paragraph" w:styleId="14">
    <w:name w:val="Body Text"/>
    <w:basedOn w:val="1"/>
    <w:link w:val="48"/>
    <w:semiHidden/>
    <w:unhideWhenUsed/>
    <w:qFormat/>
    <w:uiPriority w:val="99"/>
    <w:pPr>
      <w:spacing w:after="120"/>
    </w:pPr>
  </w:style>
  <w:style w:type="paragraph" w:styleId="15">
    <w:name w:val="Body Text Indent"/>
    <w:basedOn w:val="1"/>
    <w:link w:val="49"/>
    <w:semiHidden/>
    <w:unhideWhenUsed/>
    <w:qFormat/>
    <w:uiPriority w:val="99"/>
    <w:pPr>
      <w:spacing w:after="120"/>
      <w:ind w:left="420" w:leftChars="200"/>
    </w:pPr>
  </w:style>
  <w:style w:type="paragraph" w:styleId="16">
    <w:name w:val="toc 5"/>
    <w:basedOn w:val="1"/>
    <w:next w:val="1"/>
    <w:unhideWhenUsed/>
    <w:qFormat/>
    <w:uiPriority w:val="39"/>
    <w:pPr>
      <w:ind w:left="960"/>
      <w:jc w:val="left"/>
    </w:pPr>
    <w:rPr>
      <w:rFonts w:cstheme="minorHAnsi"/>
      <w:sz w:val="18"/>
      <w:szCs w:val="18"/>
    </w:rPr>
  </w:style>
  <w:style w:type="paragraph" w:styleId="17">
    <w:name w:val="toc 3"/>
    <w:basedOn w:val="1"/>
    <w:next w:val="1"/>
    <w:unhideWhenUsed/>
    <w:qFormat/>
    <w:uiPriority w:val="39"/>
    <w:pPr>
      <w:spacing w:line="240" w:lineRule="auto"/>
      <w:ind w:left="482"/>
      <w:jc w:val="left"/>
    </w:pPr>
    <w:rPr>
      <w:rFonts w:cstheme="minorHAnsi"/>
      <w:i/>
      <w:iCs/>
      <w:sz w:val="20"/>
      <w:szCs w:val="20"/>
    </w:rPr>
  </w:style>
  <w:style w:type="paragraph" w:styleId="18">
    <w:name w:val="Plain Text"/>
    <w:basedOn w:val="1"/>
    <w:link w:val="50"/>
    <w:unhideWhenUsed/>
    <w:qFormat/>
    <w:uiPriority w:val="0"/>
    <w:pPr>
      <w:spacing w:line="240" w:lineRule="auto"/>
      <w:ind w:firstLine="0" w:firstLineChars="0"/>
    </w:pPr>
    <w:rPr>
      <w:rFonts w:ascii="宋体" w:hAnsi="Courier New" w:cs="Courier New" w:eastAsiaTheme="minorEastAsia"/>
      <w:sz w:val="21"/>
      <w:szCs w:val="21"/>
    </w:rPr>
  </w:style>
  <w:style w:type="paragraph" w:styleId="19">
    <w:name w:val="toc 8"/>
    <w:basedOn w:val="1"/>
    <w:next w:val="1"/>
    <w:unhideWhenUsed/>
    <w:qFormat/>
    <w:uiPriority w:val="39"/>
    <w:pPr>
      <w:ind w:left="1680"/>
      <w:jc w:val="left"/>
    </w:pPr>
    <w:rPr>
      <w:rFonts w:cstheme="minorHAnsi"/>
      <w:sz w:val="18"/>
      <w:szCs w:val="18"/>
    </w:rPr>
  </w:style>
  <w:style w:type="paragraph" w:styleId="20">
    <w:name w:val="Balloon Text"/>
    <w:basedOn w:val="1"/>
    <w:link w:val="51"/>
    <w:semiHidden/>
    <w:unhideWhenUsed/>
    <w:qFormat/>
    <w:uiPriority w:val="99"/>
    <w:pPr>
      <w:spacing w:line="240" w:lineRule="auto"/>
    </w:pPr>
    <w:rPr>
      <w:sz w:val="18"/>
      <w:szCs w:val="18"/>
    </w:rPr>
  </w:style>
  <w:style w:type="paragraph" w:styleId="21">
    <w:name w:val="footer"/>
    <w:basedOn w:val="1"/>
    <w:link w:val="52"/>
    <w:unhideWhenUsed/>
    <w:qFormat/>
    <w:uiPriority w:val="99"/>
    <w:pPr>
      <w:tabs>
        <w:tab w:val="center" w:pos="4153"/>
        <w:tab w:val="right" w:pos="8306"/>
      </w:tabs>
      <w:snapToGrid w:val="0"/>
      <w:spacing w:line="240" w:lineRule="auto"/>
      <w:jc w:val="left"/>
    </w:pPr>
    <w:rPr>
      <w:sz w:val="18"/>
      <w:szCs w:val="18"/>
    </w:rPr>
  </w:style>
  <w:style w:type="paragraph" w:styleId="22">
    <w:name w:val="header"/>
    <w:basedOn w:val="1"/>
    <w:link w:val="5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23">
    <w:name w:val="toc 1"/>
    <w:basedOn w:val="1"/>
    <w:next w:val="1"/>
    <w:unhideWhenUsed/>
    <w:qFormat/>
    <w:uiPriority w:val="39"/>
    <w:pPr>
      <w:jc w:val="left"/>
    </w:pPr>
    <w:rPr>
      <w:rFonts w:cstheme="minorHAnsi"/>
      <w:b/>
      <w:bCs/>
      <w:caps/>
      <w:sz w:val="20"/>
      <w:szCs w:val="20"/>
    </w:rPr>
  </w:style>
  <w:style w:type="paragraph" w:styleId="24">
    <w:name w:val="toc 4"/>
    <w:basedOn w:val="1"/>
    <w:next w:val="1"/>
    <w:unhideWhenUsed/>
    <w:qFormat/>
    <w:uiPriority w:val="39"/>
    <w:pPr>
      <w:ind w:left="720"/>
      <w:jc w:val="left"/>
    </w:pPr>
    <w:rPr>
      <w:rFonts w:cstheme="minorHAnsi"/>
      <w:sz w:val="18"/>
      <w:szCs w:val="18"/>
    </w:rPr>
  </w:style>
  <w:style w:type="paragraph" w:styleId="25">
    <w:name w:val="Subtitle"/>
    <w:basedOn w:val="1"/>
    <w:next w:val="1"/>
    <w:link w:val="54"/>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26">
    <w:name w:val="toc 6"/>
    <w:basedOn w:val="1"/>
    <w:next w:val="1"/>
    <w:unhideWhenUsed/>
    <w:qFormat/>
    <w:uiPriority w:val="39"/>
    <w:pPr>
      <w:ind w:left="1200"/>
      <w:jc w:val="left"/>
    </w:pPr>
    <w:rPr>
      <w:rFonts w:cstheme="minorHAnsi"/>
      <w:sz w:val="18"/>
      <w:szCs w:val="18"/>
    </w:rPr>
  </w:style>
  <w:style w:type="paragraph" w:styleId="27">
    <w:name w:val="toc 2"/>
    <w:basedOn w:val="1"/>
    <w:next w:val="1"/>
    <w:unhideWhenUsed/>
    <w:qFormat/>
    <w:uiPriority w:val="39"/>
    <w:pPr>
      <w:spacing w:line="240" w:lineRule="auto"/>
      <w:ind w:left="238"/>
      <w:jc w:val="left"/>
    </w:pPr>
    <w:rPr>
      <w:rFonts w:cstheme="minorHAnsi"/>
      <w:smallCaps/>
      <w:sz w:val="20"/>
      <w:szCs w:val="20"/>
    </w:rPr>
  </w:style>
  <w:style w:type="paragraph" w:styleId="28">
    <w:name w:val="toc 9"/>
    <w:basedOn w:val="1"/>
    <w:next w:val="1"/>
    <w:unhideWhenUsed/>
    <w:qFormat/>
    <w:uiPriority w:val="39"/>
    <w:pPr>
      <w:ind w:left="1920"/>
      <w:jc w:val="left"/>
    </w:pPr>
    <w:rPr>
      <w:rFonts w:cstheme="minorHAnsi"/>
      <w:sz w:val="18"/>
      <w:szCs w:val="18"/>
    </w:rPr>
  </w:style>
  <w:style w:type="paragraph" w:styleId="29">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cs="宋体"/>
      <w:kern w:val="0"/>
      <w:szCs w:val="24"/>
    </w:rPr>
  </w:style>
  <w:style w:type="paragraph" w:styleId="30">
    <w:name w:val="index 1"/>
    <w:basedOn w:val="1"/>
    <w:next w:val="1"/>
    <w:qFormat/>
    <w:uiPriority w:val="0"/>
    <w:pPr>
      <w:spacing w:line="300" w:lineRule="auto"/>
      <w:ind w:firstLine="0" w:firstLineChars="0"/>
    </w:pPr>
    <w:rPr>
      <w:rFonts w:ascii="Times New Roman" w:hAnsi="Times New Roman" w:cs="Times New Roman"/>
      <w:szCs w:val="20"/>
    </w:rPr>
  </w:style>
  <w:style w:type="paragraph" w:styleId="31">
    <w:name w:val="Title"/>
    <w:basedOn w:val="1"/>
    <w:next w:val="1"/>
    <w:link w:val="55"/>
    <w:qFormat/>
    <w:uiPriority w:val="10"/>
    <w:pPr>
      <w:spacing w:before="240" w:after="60"/>
      <w:jc w:val="center"/>
      <w:outlineLvl w:val="0"/>
    </w:pPr>
    <w:rPr>
      <w:rFonts w:asciiTheme="majorHAnsi" w:hAnsiTheme="majorHAnsi" w:cstheme="majorBidi"/>
      <w:b/>
      <w:bCs/>
      <w:sz w:val="32"/>
      <w:szCs w:val="32"/>
    </w:rPr>
  </w:style>
  <w:style w:type="paragraph" w:styleId="32">
    <w:name w:val="Body Text First Indent"/>
    <w:basedOn w:val="14"/>
    <w:link w:val="56"/>
    <w:qFormat/>
    <w:uiPriority w:val="0"/>
    <w:pPr>
      <w:spacing w:line="240" w:lineRule="auto"/>
      <w:ind w:firstLine="420" w:firstLineChars="100"/>
    </w:pPr>
    <w:rPr>
      <w:rFonts w:eastAsiaTheme="minorEastAsia"/>
      <w:sz w:val="21"/>
      <w:szCs w:val="24"/>
    </w:rPr>
  </w:style>
  <w:style w:type="paragraph" w:styleId="33">
    <w:name w:val="Body Text First Indent 2"/>
    <w:basedOn w:val="15"/>
    <w:link w:val="57"/>
    <w:semiHidden/>
    <w:unhideWhenUsed/>
    <w:qFormat/>
    <w:uiPriority w:val="99"/>
    <w:pPr>
      <w:spacing w:line="240" w:lineRule="auto"/>
      <w:ind w:firstLine="420"/>
    </w:pPr>
    <w:rPr>
      <w:rFonts w:ascii="Times New Roman" w:hAnsi="Times New Roman" w:cs="Times New Roman"/>
      <w:sz w:val="21"/>
      <w:szCs w:val="21"/>
    </w:rPr>
  </w:style>
  <w:style w:type="table" w:styleId="35">
    <w:name w:val="Table Grid"/>
    <w:basedOn w:val="3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37">
    <w:name w:val="Hyperlink"/>
    <w:basedOn w:val="36"/>
    <w:unhideWhenUsed/>
    <w:qFormat/>
    <w:uiPriority w:val="99"/>
    <w:rPr>
      <w:color w:val="0563C1" w:themeColor="hyperlink"/>
      <w:u w:val="single"/>
      <w14:textFill>
        <w14:solidFill>
          <w14:schemeClr w14:val="hlink"/>
        </w14:solidFill>
      </w14:textFill>
    </w:rPr>
  </w:style>
  <w:style w:type="character" w:customStyle="1" w:styleId="38">
    <w:name w:val="标题 1 字符"/>
    <w:basedOn w:val="36"/>
    <w:link w:val="2"/>
    <w:qFormat/>
    <w:uiPriority w:val="9"/>
    <w:rPr>
      <w:rFonts w:ascii="黑体" w:hAnsi="黑体" w:eastAsia="黑体"/>
      <w:b/>
      <w:bCs/>
      <w:kern w:val="44"/>
      <w:sz w:val="32"/>
      <w:szCs w:val="32"/>
    </w:rPr>
  </w:style>
  <w:style w:type="character" w:customStyle="1" w:styleId="39">
    <w:name w:val="标题 2 字符"/>
    <w:basedOn w:val="36"/>
    <w:link w:val="3"/>
    <w:qFormat/>
    <w:uiPriority w:val="9"/>
    <w:rPr>
      <w:rFonts w:ascii="黑体" w:hAnsi="Arial" w:eastAsia="黑体" w:cs="Times New Roman"/>
      <w:bCs/>
      <w:sz w:val="28"/>
      <w:szCs w:val="28"/>
    </w:rPr>
  </w:style>
  <w:style w:type="character" w:customStyle="1" w:styleId="40">
    <w:name w:val="标题 3 字符"/>
    <w:basedOn w:val="36"/>
    <w:link w:val="4"/>
    <w:qFormat/>
    <w:uiPriority w:val="9"/>
    <w:rPr>
      <w:rFonts w:ascii="黑体" w:hAnsi="Arial" w:eastAsia="黑体" w:cs="Times New Roman"/>
      <w:bCs/>
      <w:sz w:val="28"/>
      <w:szCs w:val="28"/>
    </w:rPr>
  </w:style>
  <w:style w:type="character" w:customStyle="1" w:styleId="41">
    <w:name w:val="标题 4 字符"/>
    <w:basedOn w:val="36"/>
    <w:link w:val="5"/>
    <w:qFormat/>
    <w:uiPriority w:val="9"/>
    <w:rPr>
      <w:rFonts w:ascii="仿宋" w:hAnsi="仿宋" w:eastAsia="仿宋" w:cstheme="majorBidi"/>
      <w:b/>
      <w:bCs/>
      <w:sz w:val="24"/>
      <w:szCs w:val="28"/>
    </w:rPr>
  </w:style>
  <w:style w:type="character" w:customStyle="1" w:styleId="42">
    <w:name w:val="标题 5 字符"/>
    <w:basedOn w:val="36"/>
    <w:link w:val="6"/>
    <w:qFormat/>
    <w:uiPriority w:val="9"/>
    <w:rPr>
      <w:rFonts w:eastAsia="宋体"/>
      <w:b/>
      <w:bCs/>
      <w:sz w:val="24"/>
      <w:szCs w:val="28"/>
    </w:rPr>
  </w:style>
  <w:style w:type="character" w:customStyle="1" w:styleId="43">
    <w:name w:val="标题 6 字符"/>
    <w:basedOn w:val="36"/>
    <w:link w:val="7"/>
    <w:semiHidden/>
    <w:qFormat/>
    <w:uiPriority w:val="9"/>
    <w:rPr>
      <w:rFonts w:asciiTheme="majorHAnsi" w:hAnsiTheme="majorHAnsi" w:eastAsiaTheme="majorEastAsia" w:cstheme="majorBidi"/>
      <w:b/>
      <w:bCs/>
      <w:sz w:val="24"/>
      <w:szCs w:val="24"/>
    </w:rPr>
  </w:style>
  <w:style w:type="character" w:customStyle="1" w:styleId="44">
    <w:name w:val="标题 7 字符"/>
    <w:basedOn w:val="36"/>
    <w:link w:val="8"/>
    <w:semiHidden/>
    <w:qFormat/>
    <w:uiPriority w:val="9"/>
    <w:rPr>
      <w:rFonts w:eastAsia="宋体"/>
      <w:b/>
      <w:bCs/>
      <w:sz w:val="24"/>
      <w:szCs w:val="24"/>
    </w:rPr>
  </w:style>
  <w:style w:type="character" w:customStyle="1" w:styleId="45">
    <w:name w:val="标题 8 字符"/>
    <w:basedOn w:val="36"/>
    <w:link w:val="9"/>
    <w:semiHidden/>
    <w:qFormat/>
    <w:uiPriority w:val="9"/>
    <w:rPr>
      <w:rFonts w:asciiTheme="majorHAnsi" w:hAnsiTheme="majorHAnsi" w:eastAsiaTheme="majorEastAsia" w:cstheme="majorBidi"/>
      <w:sz w:val="24"/>
      <w:szCs w:val="24"/>
    </w:rPr>
  </w:style>
  <w:style w:type="character" w:customStyle="1" w:styleId="46">
    <w:name w:val="标题 9 字符"/>
    <w:basedOn w:val="36"/>
    <w:link w:val="10"/>
    <w:semiHidden/>
    <w:qFormat/>
    <w:uiPriority w:val="9"/>
    <w:rPr>
      <w:rFonts w:asciiTheme="majorHAnsi" w:hAnsiTheme="majorHAnsi" w:eastAsiaTheme="majorEastAsia" w:cstheme="majorBidi"/>
      <w:szCs w:val="21"/>
    </w:rPr>
  </w:style>
  <w:style w:type="character" w:customStyle="1" w:styleId="47">
    <w:name w:val="正文缩进 字符"/>
    <w:link w:val="12"/>
    <w:qFormat/>
    <w:locked/>
    <w:uiPriority w:val="0"/>
    <w:rPr>
      <w:rFonts w:ascii="Times New Roman" w:hAnsi="Times New Roman" w:eastAsia="宋体" w:cs="Times New Roman"/>
      <w:szCs w:val="20"/>
      <w:lang w:val="zh-CN" w:eastAsia="zh-CN"/>
    </w:rPr>
  </w:style>
  <w:style w:type="character" w:customStyle="1" w:styleId="48">
    <w:name w:val="正文文本 字符"/>
    <w:basedOn w:val="36"/>
    <w:link w:val="14"/>
    <w:semiHidden/>
    <w:qFormat/>
    <w:uiPriority w:val="99"/>
    <w:rPr>
      <w:rFonts w:eastAsia="宋体"/>
      <w:sz w:val="24"/>
    </w:rPr>
  </w:style>
  <w:style w:type="character" w:customStyle="1" w:styleId="49">
    <w:name w:val="正文文本缩进 字符"/>
    <w:basedOn w:val="36"/>
    <w:link w:val="15"/>
    <w:semiHidden/>
    <w:qFormat/>
    <w:uiPriority w:val="99"/>
    <w:rPr>
      <w:rFonts w:eastAsia="宋体"/>
      <w:sz w:val="24"/>
    </w:rPr>
  </w:style>
  <w:style w:type="character" w:customStyle="1" w:styleId="50">
    <w:name w:val="纯文本 字符1"/>
    <w:link w:val="18"/>
    <w:qFormat/>
    <w:uiPriority w:val="0"/>
    <w:rPr>
      <w:rFonts w:ascii="宋体" w:hAnsi="Courier New" w:cs="Courier New"/>
      <w:szCs w:val="21"/>
    </w:rPr>
  </w:style>
  <w:style w:type="character" w:customStyle="1" w:styleId="51">
    <w:name w:val="批注框文本 字符"/>
    <w:basedOn w:val="36"/>
    <w:link w:val="20"/>
    <w:semiHidden/>
    <w:qFormat/>
    <w:uiPriority w:val="99"/>
    <w:rPr>
      <w:rFonts w:eastAsia="宋体"/>
      <w:sz w:val="18"/>
      <w:szCs w:val="18"/>
    </w:rPr>
  </w:style>
  <w:style w:type="character" w:customStyle="1" w:styleId="52">
    <w:name w:val="页脚 字符"/>
    <w:basedOn w:val="36"/>
    <w:link w:val="21"/>
    <w:qFormat/>
    <w:uiPriority w:val="99"/>
    <w:rPr>
      <w:rFonts w:eastAsia="宋体"/>
      <w:sz w:val="18"/>
      <w:szCs w:val="18"/>
    </w:rPr>
  </w:style>
  <w:style w:type="character" w:customStyle="1" w:styleId="53">
    <w:name w:val="页眉 字符"/>
    <w:basedOn w:val="36"/>
    <w:link w:val="22"/>
    <w:qFormat/>
    <w:uiPriority w:val="99"/>
    <w:rPr>
      <w:rFonts w:eastAsia="宋体"/>
      <w:sz w:val="18"/>
      <w:szCs w:val="18"/>
    </w:rPr>
  </w:style>
  <w:style w:type="character" w:customStyle="1" w:styleId="54">
    <w:name w:val="副标题 字符"/>
    <w:basedOn w:val="36"/>
    <w:link w:val="25"/>
    <w:qFormat/>
    <w:uiPriority w:val="11"/>
    <w:rPr>
      <w:rFonts w:eastAsia="宋体" w:asciiTheme="majorHAnsi" w:hAnsiTheme="majorHAnsi" w:cstheme="majorBidi"/>
      <w:b/>
      <w:bCs/>
      <w:kern w:val="28"/>
      <w:sz w:val="32"/>
      <w:szCs w:val="32"/>
    </w:rPr>
  </w:style>
  <w:style w:type="character" w:customStyle="1" w:styleId="55">
    <w:name w:val="标题 字符"/>
    <w:basedOn w:val="36"/>
    <w:link w:val="31"/>
    <w:qFormat/>
    <w:uiPriority w:val="10"/>
    <w:rPr>
      <w:rFonts w:eastAsia="宋体" w:asciiTheme="majorHAnsi" w:hAnsiTheme="majorHAnsi" w:cstheme="majorBidi"/>
      <w:b/>
      <w:bCs/>
      <w:sz w:val="32"/>
      <w:szCs w:val="32"/>
    </w:rPr>
  </w:style>
  <w:style w:type="character" w:customStyle="1" w:styleId="56">
    <w:name w:val="正文文本首行缩进 字符"/>
    <w:basedOn w:val="36"/>
    <w:link w:val="32"/>
    <w:qFormat/>
    <w:uiPriority w:val="0"/>
    <w:rPr>
      <w:szCs w:val="24"/>
    </w:rPr>
  </w:style>
  <w:style w:type="character" w:customStyle="1" w:styleId="57">
    <w:name w:val="正文文本首行缩进 2 字符"/>
    <w:basedOn w:val="49"/>
    <w:link w:val="33"/>
    <w:semiHidden/>
    <w:qFormat/>
    <w:uiPriority w:val="99"/>
    <w:rPr>
      <w:rFonts w:ascii="Times New Roman" w:hAnsi="Times New Roman" w:eastAsia="宋体" w:cs="Times New Roman"/>
      <w:sz w:val="24"/>
      <w:szCs w:val="21"/>
    </w:rPr>
  </w:style>
  <w:style w:type="paragraph" w:styleId="58">
    <w:name w:val="List Paragraph"/>
    <w:basedOn w:val="1"/>
    <w:link w:val="59"/>
    <w:qFormat/>
    <w:uiPriority w:val="34"/>
    <w:pPr>
      <w:ind w:firstLine="420"/>
    </w:pPr>
  </w:style>
  <w:style w:type="character" w:customStyle="1" w:styleId="59">
    <w:name w:val="列表段落 字符"/>
    <w:basedOn w:val="36"/>
    <w:link w:val="58"/>
    <w:qFormat/>
    <w:uiPriority w:val="34"/>
    <w:rPr>
      <w:rFonts w:eastAsia="宋体"/>
      <w:sz w:val="28"/>
    </w:rPr>
  </w:style>
  <w:style w:type="paragraph" w:customStyle="1" w:styleId="60">
    <w:name w:val="自定义要点"/>
    <w:basedOn w:val="58"/>
    <w:link w:val="61"/>
    <w:qFormat/>
    <w:uiPriority w:val="0"/>
    <w:pPr>
      <w:numPr>
        <w:ilvl w:val="0"/>
        <w:numId w:val="2"/>
      </w:numPr>
      <w:spacing w:before="50" w:beforeLines="50" w:after="50" w:afterLines="50"/>
      <w:ind w:left="567" w:firstLine="0" w:firstLineChars="0"/>
    </w:pPr>
    <w:rPr>
      <w:b/>
      <w:sz w:val="21"/>
    </w:rPr>
  </w:style>
  <w:style w:type="character" w:customStyle="1" w:styleId="61">
    <w:name w:val="自定义要点 Char"/>
    <w:basedOn w:val="59"/>
    <w:link w:val="60"/>
    <w:qFormat/>
    <w:uiPriority w:val="0"/>
    <w:rPr>
      <w:rFonts w:eastAsia="宋体"/>
      <w:b/>
      <w:sz w:val="28"/>
    </w:rPr>
  </w:style>
  <w:style w:type="paragraph" w:customStyle="1" w:styleId="62">
    <w:name w:val="图片标注"/>
    <w:basedOn w:val="1"/>
    <w:link w:val="63"/>
    <w:qFormat/>
    <w:uiPriority w:val="0"/>
    <w:pPr>
      <w:ind w:firstLine="0" w:firstLineChars="0"/>
      <w:jc w:val="center"/>
    </w:pPr>
    <w:rPr>
      <w:rFonts w:ascii="黑体" w:hAnsi="黑体" w:eastAsia="黑体"/>
      <w:b/>
      <w:sz w:val="21"/>
    </w:rPr>
  </w:style>
  <w:style w:type="character" w:customStyle="1" w:styleId="63">
    <w:name w:val="图片标注 Char"/>
    <w:basedOn w:val="36"/>
    <w:link w:val="62"/>
    <w:qFormat/>
    <w:uiPriority w:val="0"/>
    <w:rPr>
      <w:rFonts w:ascii="黑体" w:hAnsi="黑体" w:eastAsia="黑体"/>
      <w:b/>
    </w:rPr>
  </w:style>
  <w:style w:type="paragraph" w:customStyle="1" w:styleId="64">
    <w:name w:val="表格标注"/>
    <w:basedOn w:val="62"/>
    <w:link w:val="65"/>
    <w:qFormat/>
    <w:uiPriority w:val="0"/>
    <w:pPr>
      <w:jc w:val="left"/>
    </w:pPr>
  </w:style>
  <w:style w:type="character" w:customStyle="1" w:styleId="65">
    <w:name w:val="表格标注 Char"/>
    <w:basedOn w:val="63"/>
    <w:link w:val="64"/>
    <w:qFormat/>
    <w:uiPriority w:val="0"/>
    <w:rPr>
      <w:rFonts w:ascii="黑体" w:hAnsi="黑体" w:eastAsia="黑体"/>
    </w:rPr>
  </w:style>
  <w:style w:type="paragraph" w:styleId="66">
    <w:name w:val="No Spacing"/>
    <w:link w:val="67"/>
    <w:qFormat/>
    <w:uiPriority w:val="1"/>
    <w:pPr>
      <w:widowControl w:val="0"/>
      <w:jc w:val="both"/>
    </w:pPr>
    <w:rPr>
      <w:rFonts w:eastAsia="宋体" w:asciiTheme="minorHAnsi" w:hAnsiTheme="minorHAnsi" w:cstheme="minorBidi"/>
      <w:kern w:val="2"/>
      <w:sz w:val="28"/>
      <w:szCs w:val="22"/>
      <w:lang w:val="en-US" w:eastAsia="zh-CN" w:bidi="ar-SA"/>
    </w:rPr>
  </w:style>
  <w:style w:type="character" w:customStyle="1" w:styleId="67">
    <w:name w:val="无间隔 字符"/>
    <w:basedOn w:val="36"/>
    <w:link w:val="66"/>
    <w:qFormat/>
    <w:uiPriority w:val="1"/>
    <w:rPr>
      <w:rFonts w:eastAsia="宋体"/>
      <w:sz w:val="28"/>
    </w:rPr>
  </w:style>
  <w:style w:type="paragraph" w:customStyle="1" w:styleId="68">
    <w:name w:val="TOC 标题1"/>
    <w:basedOn w:val="2"/>
    <w:next w:val="1"/>
    <w:unhideWhenUsed/>
    <w:qFormat/>
    <w:uiPriority w:val="39"/>
    <w:pPr>
      <w:widowControl/>
      <w:numPr>
        <w:numId w:val="0"/>
      </w:numPr>
      <w:spacing w:after="0" w:line="259" w:lineRule="auto"/>
      <w:jc w:val="left"/>
      <w:outlineLvl w:val="9"/>
    </w:pPr>
    <w:rPr>
      <w:rFonts w:asciiTheme="majorHAnsi" w:hAnsiTheme="majorHAnsi" w:eastAsiaTheme="majorEastAsia" w:cstheme="majorBidi"/>
      <w:b w:val="0"/>
      <w:bCs w:val="0"/>
      <w:color w:val="2E75B6" w:themeColor="accent1" w:themeShade="BF"/>
      <w:kern w:val="0"/>
    </w:rPr>
  </w:style>
  <w:style w:type="character" w:customStyle="1" w:styleId="69">
    <w:name w:val="纯文本 字符"/>
    <w:basedOn w:val="36"/>
    <w:semiHidden/>
    <w:qFormat/>
    <w:uiPriority w:val="99"/>
    <w:rPr>
      <w:rFonts w:hAnsi="Courier New" w:cs="Courier New" w:asciiTheme="minorEastAsia"/>
      <w:sz w:val="24"/>
    </w:rPr>
  </w:style>
  <w:style w:type="character" w:customStyle="1" w:styleId="70">
    <w:name w:val="Cap_正文 Char Char"/>
    <w:link w:val="71"/>
    <w:qFormat/>
    <w:uiPriority w:val="0"/>
    <w:rPr>
      <w:sz w:val="22"/>
      <w:szCs w:val="24"/>
    </w:rPr>
  </w:style>
  <w:style w:type="paragraph" w:customStyle="1" w:styleId="71">
    <w:name w:val="Cap_正文"/>
    <w:basedOn w:val="1"/>
    <w:link w:val="70"/>
    <w:qFormat/>
    <w:uiPriority w:val="0"/>
    <w:pPr>
      <w:widowControl/>
      <w:spacing w:after="160" w:line="240" w:lineRule="auto"/>
      <w:ind w:left="1797" w:firstLine="440"/>
      <w:jc w:val="left"/>
    </w:pPr>
    <w:rPr>
      <w:rFonts w:eastAsiaTheme="minorEastAsia"/>
      <w:sz w:val="22"/>
      <w:szCs w:val="24"/>
    </w:rPr>
  </w:style>
  <w:style w:type="paragraph" w:customStyle="1" w:styleId="72">
    <w:name w:val="列出段落1"/>
    <w:qFormat/>
    <w:uiPriority w:val="0"/>
    <w:pPr>
      <w:widowControl w:val="0"/>
      <w:ind w:firstLine="420"/>
      <w:jc w:val="both"/>
    </w:pPr>
    <w:rPr>
      <w:rFonts w:ascii="Lucida Grande" w:hAnsi="Lucida Grande" w:eastAsia="ヒラギノ角ゴ Pro W3" w:cs="Times New Roman"/>
      <w:color w:val="000000"/>
      <w:kern w:val="2"/>
      <w:sz w:val="21"/>
      <w:lang w:val="en-US" w:eastAsia="zh-CN" w:bidi="ar-SA"/>
    </w:rPr>
  </w:style>
  <w:style w:type="character" w:customStyle="1" w:styleId="73">
    <w:name w:val="正文首行缩进 字符"/>
    <w:basedOn w:val="48"/>
    <w:semiHidden/>
    <w:qFormat/>
    <w:uiPriority w:val="99"/>
    <w:rPr>
      <w:rFonts w:eastAsia="宋体"/>
      <w:sz w:val="24"/>
    </w:rPr>
  </w:style>
  <w:style w:type="character" w:customStyle="1" w:styleId="74">
    <w:name w:val="标题 1 Char"/>
    <w:qFormat/>
    <w:uiPriority w:val="0"/>
    <w:rPr>
      <w:b/>
      <w:bCs/>
      <w:kern w:val="44"/>
      <w:sz w:val="44"/>
      <w:szCs w:val="44"/>
    </w:rPr>
  </w:style>
  <w:style w:type="character" w:customStyle="1" w:styleId="75">
    <w:name w:val="style21"/>
    <w:qFormat/>
    <w:uiPriority w:val="0"/>
    <w:rPr>
      <w:sz w:val="22"/>
    </w:rPr>
  </w:style>
  <w:style w:type="paragraph" w:customStyle="1" w:styleId="76">
    <w:name w:val="节"/>
    <w:basedOn w:val="3"/>
    <w:qFormat/>
    <w:uiPriority w:val="0"/>
    <w:pPr>
      <w:numPr>
        <w:ilvl w:val="0"/>
        <w:numId w:val="0"/>
      </w:numPr>
      <w:ind w:left="576" w:hanging="576"/>
    </w:pPr>
    <w:rPr>
      <w:b/>
    </w:rPr>
  </w:style>
  <w:style w:type="table" w:customStyle="1" w:styleId="77">
    <w:name w:val="TableGrid"/>
    <w:qFormat/>
    <w:uiPriority w:val="0"/>
    <w:tblPr>
      <w:tblLayout w:type="fixed"/>
      <w:tblCellMar>
        <w:top w:w="0" w:type="dxa"/>
        <w:left w:w="0" w:type="dxa"/>
        <w:bottom w:w="0" w:type="dxa"/>
        <w:right w:w="0" w:type="dxa"/>
      </w:tblCellMar>
    </w:tblPr>
  </w:style>
  <w:style w:type="paragraph" w:customStyle="1" w:styleId="78">
    <w:name w:val="1"/>
    <w:basedOn w:val="1"/>
    <w:next w:val="12"/>
    <w:qFormat/>
    <w:uiPriority w:val="0"/>
    <w:pPr>
      <w:ind w:firstLine="480"/>
    </w:pPr>
    <w:rPr>
      <w:rFonts w:ascii="宋体" w:hAnsi="Arial" w:cs="Times New Roman"/>
      <w:szCs w:val="21"/>
    </w:rPr>
  </w:style>
  <w:style w:type="character" w:customStyle="1" w:styleId="79">
    <w:name w:val="未处理的提及1"/>
    <w:basedOn w:val="36"/>
    <w:semiHidden/>
    <w:unhideWhenUsed/>
    <w:qFormat/>
    <w:uiPriority w:val="99"/>
    <w:rPr>
      <w:color w:val="605E5C"/>
      <w:shd w:val="clear" w:color="auto" w:fill="E1DFDD"/>
    </w:rPr>
  </w:style>
  <w:style w:type="paragraph" w:customStyle="1" w:styleId="80">
    <w:name w:val="表格文字"/>
    <w:basedOn w:val="1"/>
    <w:qFormat/>
    <w:uiPriority w:val="0"/>
    <w:pPr>
      <w:widowControl/>
      <w:spacing w:before="25" w:after="25"/>
      <w:jc w:val="left"/>
    </w:pPr>
    <w:rPr>
      <w:rFonts w:ascii="Times" w:hAnsi="Times"/>
      <w:bCs/>
      <w:spacing w:val="10"/>
      <w:kern w:val="0"/>
    </w:rPr>
  </w:style>
  <w:style w:type="paragraph" w:customStyle="1" w:styleId="81">
    <w:name w:val="Heading L3"/>
    <w:basedOn w:val="1"/>
    <w:qFormat/>
    <w:uiPriority w:val="0"/>
    <w:pPr>
      <w:numPr>
        <w:ilvl w:val="2"/>
        <w:numId w:val="3"/>
      </w:numPr>
    </w:pPr>
  </w:style>
  <w:style w:type="paragraph" w:customStyle="1" w:styleId="8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83">
    <w:name w:val="样式3"/>
    <w:basedOn w:val="18"/>
    <w:qFormat/>
    <w:uiPriority w:val="0"/>
    <w:pPr>
      <w:spacing w:line="0" w:lineRule="atLeast"/>
      <w:outlineLvl w:val="0"/>
    </w:pPr>
    <w:rPr>
      <w:rFonts w:cs="Times New Roman"/>
      <w:sz w:val="28"/>
      <w:szCs w:val="20"/>
    </w:rPr>
  </w:style>
  <w:style w:type="paragraph" w:customStyle="1" w:styleId="84">
    <w:name w:val="列表段落1"/>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93</Pages>
  <Words>6902</Words>
  <Characters>39348</Characters>
  <Lines>327</Lines>
  <Paragraphs>92</Paragraphs>
  <TotalTime>92</TotalTime>
  <ScaleCrop>false</ScaleCrop>
  <LinksUpToDate>false</LinksUpToDate>
  <CharactersWithSpaces>46158</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2022-08-10T02:49:00Z</dcterms:created>
  <dc:creator>WangX</dc:creator>
  <cp:lastModifiedBy>gt2</cp:lastModifiedBy>
  <dcterms:modified xsi:type="dcterms:W3CDTF">2022-08-16T06:14:07Z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0D2FF96A288C4D1282E48EC397BEE8CC</vt:lpwstr>
  </property>
</Properties>
</file>